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Persona-Based Reading-Path Simulations: P7 through P11</w:t>
      </w:r>
    </w:p>
    <w:p>
      <w:r>
        <w:t>Findings from Five Additional Persona Reading-Path Simulations Executed for v3.1.8</w:t>
      </w:r>
    </w:p>
    <w:p>
      <w:r>
        <w:t>v1.0  ·  Created May 7, 2026 for v3.1.8 (additional five-persona simulation execution per Standard Persona Simulation Prompt; extends the P2-P6 set documented in 05_Persona_Simulations_P2_P6.docx with perspectives the original set did not capture)  ·  Jason Robertson  ·  Ohio  ·  2026</w:t>
      </w:r>
    </w:p>
    <w:p>
      <w:r>
        <w:t>This document records persona-based reading-path simulation findings for personas P7 through P11, executed per the Standard Persona Simulation Prompt established in Item 80. The original v3.1.0 simulation set (P2 through P6) covered policy professional, telecommunications industry, tribal infrastructure, small business owner, and concerned citizen perspectives. The P7-P11 set extends coverage to perspectives the original set did not capture: healthcare provider, constitutional law scholar, state policy official, investment manager, and self-employed worker. The simulations follow the same SIG/MIN/OBS finding-severity convention used in the P2-P6 document.</w:t>
      </w:r>
    </w:p>
    <w:p>
      <w:pPr>
        <w:pStyle w:val="Heading1"/>
      </w:pPr>
      <w:r>
        <w:t>P7: Healthcare Provider</w:t>
      </w:r>
    </w:p>
    <w:p>
      <w:r>
        <w:t>Persona simulated: Practicing physician at a multi-specialty clinic evaluating implementation implications for provider workflow and clinic operations. Reading path executed: Healthcare Transition Detailed Plan, Universal Mental Health Access Substantiation, What This Means For You (healthcare sections including the Healthcare Transition Frequently Asked Questions section added in v3.1.6), Federal Fiscal Impact Analysis (healthcare sections). Concerns active throughout: provider payment rate setting mechanism, electronic health record integration, specialty care referral processes, malpractice and liability treatment, and administrative burden compared to current.</w:t>
      </w:r>
    </w:p>
    <w:p>
      <w:pPr>
        <w:pStyle w:val="Heading2"/>
      </w:pPr>
      <w:r>
        <w:t>P7 Findings</w:t>
      </w:r>
    </w:p>
    <w:p>
      <w:r>
        <w:t>SIG, PROVIDER-PAYMENT-RATE-MECHANISM-UNSPECIFIED, Healthcare Transition Detailed Plan. The platform's healthcare architecture describes payment rates as set through a transparent process with rates designed to be sustainable for current providers, but does not specify the rate-setting mechanism at the level a provider needs to evaluate participation. Specifically: who sets rates (the federal entity, a tripartite body, a Medicare-style rate commission)? On what cadence (annual, biennial)? Through what mechanism (formula-based, negotiated, market-survey)? With what appeal process when providers dispute rates? Without this specification, providers cannot evaluate whether platform participation is financially sustainable for their practice. The What This Means For You FAQ states that rates are designed to be sustainable for current providers, but the assertion is not substantiated by mechanism details. This is the highest-stakes finding from this persona's perspective.</w:t>
      </w:r>
    </w:p>
    <w:p>
      <w:r>
        <w:t>MIN, EHR-INTEGRATION-PATH-MISSING, Healthcare Transition Detailed Plan. The platform does not address how the universal healthcare system would integrate with existing electronic health record systems used by providers. A provider's workflow depends on EHR (Electronic Health Record) integration: claims submission, eligibility verification, prior authorization, and clinical documentation tools all flow through the EHR. The platform's payment-system change implies an integration path with existing EHR systems, but the path is not described. Providers would expect either an EHR-compatible API specification or a transition timeline for EHR vendors to update their systems.</w:t>
      </w:r>
    </w:p>
    <w:p>
      <w:r>
        <w:t>MIN, SPECIALTY-REFERRAL-PROCESS-OPACITY, What This Means For You. The healthcare FAQ section addresses specialty care availability at a high level (specialists you currently see remain your specialists; the change is the payment system) but does not specify the specialty-referral process under universal coverage. Providers and patients alike need to know: does universal coverage require primary-care referral for specialty visits (gatekeeper model) or allow direct specialty access? Are there utilization management protocols? How are network-restriction issues handled when specialists are not in a unified network? The platform's position appears to be open-network with referral processes following current managed-care patterns, but the FAQ does not state this explicitly.</w:t>
      </w:r>
    </w:p>
    <w:p>
      <w:r>
        <w:t>OBS, MENTAL-HEALTH-SUBSTANTIATION-COMPREHENSIVE, Universal Mental Health Access Substantiation. The mental health substantiation document is more comprehensive than the persona expected from a non-clinical source. Coverage of psychiatric provider workforce considerations, integration with primary care, and parity-with-medical-care principles matches the kind of analysis healthcare providers would want to see before substantive engagement with the platform. The persona notes this as a positive surprise, particularly the recognition of psychiatric workforce constraints (PMHNP supply, psychiatrist supply) as a real implementation constraint rather than an aspirational footnote.</w:t>
      </w:r>
    </w:p>
    <w:p>
      <w:r>
        <w:t>MIN, MALPRACTICE-LIABILITY-TREATMENT-MISSING, Healthcare Transition Detailed Plan. Universal healthcare in peer nations typically includes structural treatment of medical malpractice (caps on damages, dedicated review boards, structured settlements) because malpractice premium costs are a meaningful share of provider expense. The platform's healthcare architecture does not address malpractice treatment. Providers would expect either a position that malpractice law remains state-level unchanged (which is a reasonable position) or a position that the platform includes federal malpractice reform (which would be a substantial additional architectural component). Either position would be acceptable; absence of the question's treatment is the finding.</w:t>
      </w:r>
    </w:p>
    <w:p>
      <w:r>
        <w:t>Overall assessment for P7. The platform engages the healthcare provider at the level of architectural intent (universal coverage, sustainable rates, mental health parity) but with substantial friction around the operational specifics that determine whether providers would participate. Highest-priority finding is the provider-payment rate-setting mechanism specification; without this, individual providers cannot evaluate participation, and provider associations cannot organize coherent positions on the platform. The persona would not dismiss the platform but would defer engagement until the operational specifications are filled in. The platform would benefit from a Healthcare Provider Engagement supplement document analogous to the State Level Cooperation Requirements document for state officials.</w:t>
      </w:r>
    </w:p>
    <w:p>
      <w:pPr>
        <w:pStyle w:val="Heading1"/>
      </w:pPr>
      <w:r>
        <w:t>P8: Constitutional Law Scholar</w:t>
      </w:r>
    </w:p>
    <w:p>
      <w:r>
        <w:t>Persona simulated: Constitutional law professor at a major university evaluating the platform's legal-architecture novelty and constitutional viability. Reading path executed: Federal Income Tax Revenue Modified Architecture, Federal Infrastructure Fee, State Level Cooperation Requirements, Open Issues Registry constitutional items (CON-2, CON-3, CON-9). Concerns active: direct tax clause issues for the wealth-surcharge architecture, commerce clause analysis for FIF, federalism implications, takings clause for stranded telecommunications assets, and the depth of constitutional analysis represented in the platform's documentation.</w:t>
      </w:r>
    </w:p>
    <w:p>
      <w:pPr>
        <w:pStyle w:val="Heading2"/>
      </w:pPr>
      <w:r>
        <w:t>P8 Findings</w:t>
      </w:r>
    </w:p>
    <w:p>
      <w:r>
        <w:t>SIG, DIRECT-TAX-CLAUSE-ANALYSIS-INSUFFICIENT, Federal Income Tax Revenue Modified Architecture. The Constitution's direct tax clause (Article I, Section 9, Clause 4) requires that direct taxes be apportioned among the states by population. The Sixteenth Amendment created an exception for income taxes, but the wealth-surcharge architecture's treatment of accumulated wealth raises the question whether the surcharge is an income tax (Sixteenth Amendment exception applies) or a direct tax (apportionment requirement applies, which the platform's architecture does not satisfy). The platform's documentation acknowledges constitutional questions in Section 47 but does not include the depth of direct tax clause analysis that a constitutional scholar would expect for an architecture this novel. The Pollock v. Farmers' Loan and the post-Pollock case law on income-versus-property characterization would be central to this analysis. The platform's position would be more defensible with explicit direct tax clause treatment.</w:t>
      </w:r>
    </w:p>
    <w:p>
      <w:r>
        <w:t>MIN, COMMERCE-CLAUSE-ANALYSIS-LIMITED, Federal Infrastructure Fee. The FIF architecture relies on Congress's commerce clause authority for federally-owned telecommunications infrastructure and consumer-protection authority over rate setting. The architectural choice is defensible but the platform's documentation does not articulate the commerce clause foundation explicitly. Industry challenges to FIF would likely raise commerce clause questions about the federal government's role as both regulator and competitor in telecommunications markets. The platform's position would benefit from explicit treatment of the commerce clause foundation, including reference to existing federal commerce-clause authority for telecommunications (Communications Act, public utility regulation precedents) and discussion of why FIF falls within rather than outside this authority.</w:t>
      </w:r>
    </w:p>
    <w:p>
      <w:r>
        <w:t>MIN, TAKINGS-CLAUSE-STRANDED-ASSETS, Federal Infrastructure Fee Transition Mechanics. The platform's transition mechanics include stranded asset treatment for legacy infrastructure investments that become obsolete during transition. The Fifth Amendment's takings clause governs federal acquisition of private property; the platform's stranded-asset acquisition mechanism (Federal Infrastructure Operator may acquire stranded assets at depreciated book value) raises takings clause questions about whether depreciated book value constitutes just compensation. The platform's mechanism is voluntary on both sides which sidesteps direct takings problems, but the structural pressure on carriers to accept the mechanism (versus writing down to zero) could be characterized as constructive taking under specific case law lines. Constitutional analysis would benefit from explicit treatment of the just-compensation question.</w:t>
      </w:r>
    </w:p>
    <w:p>
      <w:r>
        <w:t>OBS, CONSTITUTIONAL-RECOGNITION-PRESENT, Open Issues Registry Section 47. The OIR includes constitutional items (CON-2, CON-3, CON-9) acknowledging that the platform's constitutional foundation requires expert review. This is a positive surprise from this persona's perspective; many policy proposals do not include any constitutional self-assessment. The CON items in Section 47 are tracked as OPEN with external-review acknowledgment, which is the correct status given the platform lead author is not a constitutional law expert. The persona notes this as evidence of analytical responsibility consistent with the OIR discipline P2 also identified positively.</w:t>
      </w:r>
    </w:p>
    <w:p>
      <w:r>
        <w:t>MIN, FEDERALISM-INTERACTION-ANALYSIS, State Level Cooperation Requirements. The State Level Cooperation Requirements document acknowledges federalism considerations but does not analyze federal-preemption questions explicitly. Several platform components (FIF replacing state-level telecommunications taxes; universal healthcare interaction with state Medicaid programs; wage-floor architecture preempting state minimum-wage laws) implicate federal-preemption analysis. The platform's position appears to be that federal action is constitutionally permissible in each area, but the analysis is implicit. A constitutional scholar would expect explicit treatment of which preemption doctrine applies (express, conflict, field) and which case-law lines support the platform's position.</w:t>
      </w:r>
    </w:p>
    <w:p>
      <w:r>
        <w:t>Overall assessment for P8. The platform engages constitutional questions at the level of acknowledgment (Section 47 CON items) but not at the level of analysis (legal-architecture argument). The acknowledgment is unusual and positive; the analysis depth is lacking for the platform's structural novelty. Highest-priority finding is the direct tax clause analysis for the wealth-surcharge architecture, which is the platform component facing the most direct constitutional challenge. The persona would defer substantive engagement until the platform either (a) includes constitutional-law-expert analysis directly or (b) explicitly engages constitutional law experts for review (the platform's stated path per the OPEN/external-review architecture). Both responses are reasonable; the platform's current position is structurally consistent with its scope-and-expertise discipline but is incomplete from a constitutional review standpoint.</w:t>
      </w:r>
    </w:p>
    <w:p>
      <w:pPr>
        <w:pStyle w:val="Heading1"/>
      </w:pPr>
      <w:r>
        <w:t>P9: State Policy Official</w:t>
      </w:r>
    </w:p>
    <w:p>
      <w:r>
        <w:t>Persona simulated: Policy advisor to a state governor evaluating the platform's federal-state interaction implications for state policy and operations. Reading path executed: State Level Cooperation Requirements, Federal Infrastructure Fee, Federal Infrastructure Fee Transition Mechanics, Federal Fiscal Impact Analysis (state-level sections), and What This Means For You (transition timeline sections). Concerns active: state revenue impact (telecom-tax replacement, healthcare program restructuring), state regulatory authority preservation, intergovernmental coordination mechanisms, state implementation timeline, and federalism considerations the state might raise during enactment review.</w:t>
      </w:r>
    </w:p>
    <w:p>
      <w:pPr>
        <w:pStyle w:val="Heading2"/>
      </w:pPr>
      <w:r>
        <w:t>P9 Findings</w:t>
      </w:r>
    </w:p>
    <w:p>
      <w:r>
        <w:t>OBS, DEDICATED-STATE-DOCUMENT-POSITIVE, State Level Cooperation Requirements. The platform includes a dedicated document addressing state-level cooperation requirements, which is unusual for federal policy proposals at this scope. Many federal-platform proposals treat state interaction as an implementation footnote; this platform treats it as a structural component. The document's existence is itself a positive signal that the platform recognizes state-level operational realities and is designed to engage state governments rather than operate around them. The persona notes this as evidence the platform's authors took federalism seriously in the design phase.</w:t>
      </w:r>
    </w:p>
    <w:p>
      <w:r>
        <w:t>MIN, STATE-FISCAL-IMPACT-SPECIFICITY, Federal Fiscal Impact Analysis. The FFIA describes federal fiscal impact at the architectural level but does not provide state-by-state fiscal impact analysis. State officials evaluating the platform need to know: how does the platform affect this state's revenue (state telecom-tax loss, sales-tax base changes, income-tax interaction)? How does it affect this state's expenditures (Medicaid-program restructuring, state employee pension impact, education-funding pass-through)? Without state-specific fiscal impact analysis, state officials cannot evaluate the platform from their perspective and cannot prepare informed policy positions for their state's congressional delegation.</w:t>
      </w:r>
    </w:p>
    <w:p>
      <w:r>
        <w:t>MIN, STATE-IMPLEMENTATION-TIMELINE-COMPRESSED, Federal Infrastructure Fee Transition Mechanics. The transition mechanics document describes the federal-side transition timeline with phase trigger conditions and contingency treatment (added in v3.1.6) but does not specify the state-side implementation timeline. State governments must plan for transition activities: state-employee training on universal healthcare interaction, state-IT system updates for federal data exchange, state-statute updates for state telecommunications-tax repeal, and state-budget impact projections across multiple fiscal years. State implementation requires its own timeline analogous to but distinct from the federal-side timeline.</w:t>
      </w:r>
    </w:p>
    <w:p>
      <w:r>
        <w:t>MIN, FEDERAL-DATA-SHARING-MECHANISMS, Federal Infrastructure Fee. The platform's mechanisms imply substantial federal-state data sharing (carrier subscriber data for FIF administration, healthcare encounter data for universal coverage operation, wage data for the wage-floor architecture). The platform does not specify the data-sharing mechanisms (formal agreements, technical APIs, security architectures, governance frameworks). State officials would expect this specification because state authority over state-collected data has well-established frameworks that federal mechanisms must respect.</w:t>
      </w:r>
    </w:p>
    <w:p>
      <w:r>
        <w:t>OBS, STATE-PUC (Public Utility Commission)-PRESERVATION-EXPLICIT, Federal Infrastructure Fee. The FIF document explicitly states that state public utility commissions retain their existing authority over intrastate consumer protection and rate-reasonableness matters, with the federal pass-through prevention architecture being complementary rather than preemptive. This explicit preservation is positive from a state-perspective; many federal proposals are silent on state-authority preservation, leaving the question for litigation. The platform's explicit treatment makes state engagement easier because state PUCs can evaluate the proposal without first needing to litigate scope.</w:t>
      </w:r>
    </w:p>
    <w:p>
      <w:r>
        <w:t>Overall assessment for P9. The platform engages state-level concerns at the architectural level (dedicated State Level Cooperation Requirements document, explicit state-PUC preservation, explicit federalism recognition) with friction around the implementation specifics state officials need for their own planning. Highest-priority finding is the state-fiscal-impact specificity gap, which is the analytical artifact state officials would need most to evaluate the platform from their state's perspective. The persona would not dismiss the platform; the structural recognition of state authority is enough to support engagement, but engagement would proceed faster with state-specific fiscal impact analysis. The platform would benefit from a State Fiscal Impact Analysis companion document or an extension to the FFIA that disaggregates by state.</w:t>
      </w:r>
    </w:p>
    <w:p>
      <w:pPr>
        <w:pStyle w:val="Heading1"/>
      </w:pPr>
      <w:r>
        <w:t>P10: Investment Manager</w:t>
      </w:r>
    </w:p>
    <w:p>
      <w:r>
        <w:t>Persona simulated: Institutional investment manager (pension fund trustee role; familiar with sovereign wealth fund and large pension fund management) evaluating the Sovereign Fund architecture from a capital-markets perspective. Reading path executed: Sovereign Fund Governance Design, Federal Fiscal Impact Analysis (Sovereign Fund sections), Existing Pensioners (pension-fund interaction), Open Issues Registry OPEN-2 documentation. Concerns active: Sovereign Fund investment policy specificity, market liquidity considerations at the platform's scale, pension fund coexistence implications, governance independence from political pressure, and risk-management framework adequacy.</w:t>
      </w:r>
    </w:p>
    <w:p>
      <w:pPr>
        <w:pStyle w:val="Heading2"/>
      </w:pPr>
      <w:r>
        <w:t>P10 Findings</w:t>
      </w:r>
    </w:p>
    <w:p>
      <w:r>
        <w:t>OBS, GOVERNANCE-DESIGN-SUBSTANTIVE, Sovereign Fund Governance Design. The dedicated Sovereign Fund Governance Design document covers fundamental governance considerations: independence from political pressure, professional management, transparent reporting, board composition, and decision-making frameworks. The document's existence and its substantive treatment of governance is itself a positive signal; many sovereign-wealth-fund proposals at the country level skip directly from accumulation projections to distribution mechanisms without engaging governance carefully. The Norwegian Government Pension Fund Global (GPFG) model is referenced appropriately as the structural reference. The persona notes this as analytically responsible.</w:t>
      </w:r>
    </w:p>
    <w:p>
      <w:r>
        <w:t>SIG, INVESTMENT-POLICY-FRAMEWORK-INSUFFICIENT, Sovereign Fund Governance Design. The governance document covers governance framework but does not specify the investment policy framework at the depth an institutional reviewer would expect. Specifically: what asset-allocation policy guides the fund (strategic asset allocation targets across equities, fixed income, alternatives)? What benchmark drives performance evaluation? What risk tolerance is encoded in policy? What ESG (environmental, social, governance) integration approach? What active-versus-passive split? What home-country versus international allocation? Institutional investors evaluate sovereign wealth funds primarily through investment policy framework; the platform's documentation engages governance but not investment policy. This is the highest-stakes finding from this persona's perspective because investment policy directly drives the realized accumulation versus the projected accumulation.</w:t>
      </w:r>
    </w:p>
    <w:p>
      <w:r>
        <w:t>MIN, MARKET-IMPACT-AT-SCALE, Federal Fiscal Impact Analysis. The Sovereign Fund's projected accumulation reaches scale comparable to the largest sovereign wealth funds globally over the 60-year horizon. At this scale, the fund's market activity has potential to affect market prices, particularly in equities. The platform does not address market-impact considerations explicitly. Institutional investors at much smaller scales already manage market-impact considerations carefully (transaction cost analysis, execution-cost modeling); a fund of the platform's projected size would face these considerations more acutely. Either the fund's investment policy must be designed to minimize market impact (passive strategies, gradual position-building) or the platform's accumulation projections must account for market-impact friction.</w:t>
      </w:r>
    </w:p>
    <w:p>
      <w:r>
        <w:t>MIN, PENSION-FUND-INTERACTION, Existing Pensioners. The Existing Pensioners document addresses platform interaction with current pensioners at the household level but does not address interaction with existing pension fund institutions at the asset-management level. Existing pension funds (corporate defined-benefit plans, public pension plans, multiemployer plans) have substantial assets under management that overlap with the asset classes the Sovereign Fund would invest in. Coordination considerations include: would Sovereign Fund and existing pension funds compete for assets in private markets where deal flow is constrained? Would Sovereign Fund's scale affect public-equity prices in ways that affect existing pension funds' returns? The platform's position appears to be that the Sovereign Fund is a parallel institution rather than a replacement for existing pension funds, but interaction questions are not engaged.</w:t>
      </w:r>
    </w:p>
    <w:p>
      <w:r>
        <w:t>OBS, OPEN-2-EXTERNAL-REVIEW-ACKNOWLEDGED, Open Issues Registry OPEN-2. The OPEN-2 documentation in the Open Issues Registry explicitly acknowledges that the high-earner architecture (which interacts with Sovereign Fund mechanics) requires external review by capital-markets and tax-policy experts. This is structurally consistent with the platform's pattern of acknowledging analytical limits and tracking them in the OIR. From this persona's perspective, the acknowledgment is the right response given the platform lead author's expertise scope; substantive Sovereign Fund management would require institutional-investor expertise that the platform's documentation explicitly seeks rather than feigns.</w:t>
      </w:r>
    </w:p>
    <w:p>
      <w:r>
        <w:t>Overall assessment for P10. The platform engages Sovereign Fund governance carefully but does not engage investment policy framework at the depth institutional review requires. Highest-priority finding is the investment-policy-framework specification, which determines whether the fund's projected accumulation is achievable in expected market conditions. The persona would categorize the platform's Sovereign Fund treatment as analytically responsible at the governance level and analytically incomplete at the investment-management level; the latter requires institutional-investor expertise that the platform's external-review framework anticipates. The platform would benefit from a Sovereign Fund Investment Policy Framework document complementary to the existing Sovereign Fund Governance Design document, ideally developed with input from institutional investors with sovereign-wealth-fund management experience.</w:t>
      </w:r>
    </w:p>
    <w:p>
      <w:pPr>
        <w:pStyle w:val="Heading1"/>
      </w:pPr>
      <w:r>
        <w:t>P11: Self-Employed / Gig Worker</w:t>
      </w:r>
    </w:p>
    <w:p>
      <w:r>
        <w:t>Persona simulated: Self-employed worker with mixed income sources (independent contractor work plus gig-platform earnings; no W-2 employment) evaluating personal platform impact. Reading path executed: What This Means For You (self-employed implications), Federal Income Tax Revenue Modified Architecture, We The People Calculator (self-employed inputs), and Cohabiting Unmarried Couples (household structure for unmarried self-employed). Concerns active: contribution mechanism for self-employed (no employer to split with), quarterly estimated tax integration, multi-employer scenarios for gig workers, healthcare without employer coverage, retirement accumulation without W-2 structure.</w:t>
      </w:r>
    </w:p>
    <w:p>
      <w:pPr>
        <w:pStyle w:val="Heading2"/>
      </w:pPr>
      <w:r>
        <w:t>P11 Findings</w:t>
      </w:r>
    </w:p>
    <w:p>
      <w:r>
        <w:t>MIN, SELF-EMPLOYED-CONTRIBUTION-MECHANISM, Federal Income Tax Revenue Modified Architecture. The platform's federal contribution architecture (universal healthcare, childcare, Sovereign Fund) is described primarily through employer-employee split conventions (employer pays X percent, employee pays Y percent). Self-employed workers are not employer-employee in the conventional sense and would expect explicit treatment of how the architecture applies to their situation. The current FICA (Federal Insurance Contributions Act) convention for self-employed workers is that the worker pays both the employer-side and employee-side portions, with a half-portion deduction for the employer-side. The platform's architecture would benefit from explicit specification of whether the same FICA convention applies, how rate calculation works for self-employed, and whether the half-portion deduction analogue exists.</w:t>
      </w:r>
    </w:p>
    <w:p>
      <w:r>
        <w:t>MIN, GIG-WORKER-MULTI-EMPLOYER, What This Means For You. Gig workers earn income through multiple platforms (rideshare, food delivery, freelance marketplaces) with each platform issuing 1099 forms (or equivalent) for tax purposes. The platform's contribution architecture does not specifically address how multi-employer 1099 income is handled. Specifically: does each gig platform collect contributions on the worker's behalf (administrative burden on platforms; coordination challenges)? Does the worker self-administer contributions across all 1099 income (administrative burden on the worker)? Are there minimum thresholds below which contributions are not collected? The current Self-Employment Contributions Act framework provides one model; the platform's documentation should engage this question explicitly.</w:t>
      </w:r>
    </w:p>
    <w:p>
      <w:r>
        <w:t>OBS, UNIVERSAL-COVERAGE-RESOLVES-ANXIETY, What This Means For You Healthcare FAQ. Self-employed workers and gig workers face acute healthcare anxiety under the current system because they lack employer-sponsored insurance and must purchase individual coverage on the marketplace (often at high cost) or go uninsured. The What This Means For You Healthcare FAQ section (added in v3.1.6) addresses healthcare transition concerns directly and includes the explicit statement that universal healthcare coverage is not tied to employment. From this persona's perspective, this resolves the highest-anxiety topic about self-employment under the platform; the universal coverage architecture eliminates the employer-sponsored-coverage gap that currently penalizes self-employment.</w:t>
      </w:r>
    </w:p>
    <w:p>
      <w:r>
        <w:t>MIN, QUARTERLY-PAYMENT-INTEGRATION, We The People Calculator. Self-employed workers pay federal income tax through quarterly estimated tax payments (Form 1040-ES). The platform's contribution architecture would presumably integrate with this quarterly payment cadence rather than the W-2 employee withholding cadence, but the calculator and supporting documentation do not specifically address quarterly payment integration. Self-employed workers would expect the platform's documentation to confirm that quarterly payments would integrate the federal contributions (universal healthcare, childcare, Sovereign Fund) with the federal income tax payment as a unified payment, rather than requiring separate payment streams that complicate cash flow management.</w:t>
      </w:r>
    </w:p>
    <w:p>
      <w:r>
        <w:t>OBS, RETIREMENT-WITHOUT-W2-RESOLVED, Federal Income Tax Revenue Modified Architecture. Self-employed workers under the current system face retirement-savings disadvantages: no employer-match 401(k), self-administered SEP-IRAs or Solo 401(k)s with substantial complexity, and Social Security being often the only structured retirement income. The platform's Sovereign Fund architecture provides retirement accumulation that does not depend on employer structure; self-employed workers receive the same accumulation as W-2 workers based on the same contribution mechanics. From this persona's perspective, the Sovereign Fund architecture is structurally favorable for self-employment because it removes the employer-sponsored retirement disadvantage that the current system imposes.</w:t>
      </w:r>
    </w:p>
    <w:p>
      <w:r>
        <w:t>Overall assessment for P11. The platform's architectural treatment is structurally favorable for self-employment (universal healthcare resolves coverage gap; Sovereign Fund resolves retirement disadvantage) with friction primarily around contribution-mechanism operational specifics (how exactly does payment work for non-W-2 income). Highest-priority finding is the self-employed contribution mechanism specification; a full self-employed-and-gig-worker treatment in the federal-contribution-architecture document would address most of the persona's friction. The persona would not dismiss the platform; the architectural intent is favorable. The platform would benefit from a brief Self-Employed and Gig Worker Implementation Notes section in the Federal Income Tax Revenue Modified Architecture document or a dedicated short-form companion document.</w:t>
      </w:r>
    </w:p>
    <w:p>
      <w:pPr>
        <w:pStyle w:val="Heading1"/>
      </w:pPr>
      <w:r>
        <w:t>Cross-Persona Summary (P7-P11)</w:t>
      </w:r>
    </w:p>
    <w:p>
      <w:r>
        <w:t>Five persona simulations produced 25 findings total: 3 SIG (provider payment rate-setting mechanism for healthcare provider; direct tax clause analysis depth for constitutional scholar; investment policy framework specificity for institutional investor), 14 MIN (operational specifics across multiple personas), and 8 OBS (informational observations noting positive design choices). The three SIG findings cluster around analytical-depth gaps in domains where the platform's lead author appropriately defers to external experts (medicine, constitutional law, institutional finance); each is consistent with the platform's existing OIR pattern of acknowledging expertise limits but represents a depth gap rather than just an acknowledgment gap.</w:t>
      </w:r>
    </w:p>
    <w:p>
      <w:r>
        <w:t>The MIN findings cluster around three patterns: operational-detail gaps (provider payment process, EHR integration, state implementation timeline, multi-employer gig-worker treatment); cross-domain interaction analysis (federalism preemption analysis, market impact at scale, pension fund coexistence); and contribution-mechanism specifics (self-employed treatment, quarterly payment integration, federal-state data sharing). The OBS findings note positive design choices: dedicated supporting documents (State Level Cooperation Requirements, Sovereign Fund Governance Design, Mental Health Substantiation), the OIR discipline acknowledging constitutional and external-review needs, the v3.1.6 Healthcare FAQ resolving high-anxiety topics, the explicit preservation of state PUC authority, and the structural favorability of universal coverage and Sovereign Fund architecture for non-W-2 workers.</w:t>
      </w:r>
    </w:p>
    <w:p>
      <w:r>
        <w:t>What this simulation set adds beyond P2-P6. The P7-P11 set extends coverage to expert perspectives the original set did not capture: healthcare provider operational reality, constitutional law substantive review, state-level fiscal and operational implications, institutional-investor evaluation, and self-employment specifics. The P2 policy professional persona surfaced methodology questions; the P8 constitutional scholar surfaces legal-architecture questions distinct from methodology. The P3 telecom industry persona surfaced industry regulatory questions; the P10 investment manager surfaces capital-markets questions distinct from regulatory questions. The P5 small business owner surfaced employer-side small-business questions; the P11 self-employed persona surfaces non-employer self-employment questions. The simulation set is now substantially more comprehensive after the P7-P11 extension.</w:t>
      </w:r>
    </w:p>
    <w:p>
      <w:r>
        <w:t>Recommended platform responses. The three SIG findings warrant treatment in subsequent iterations: a Healthcare Provider Engagement supplement (addressing provider payment rate-setting mechanism, EHR integration path, specialty referral process, malpractice treatment); explicit constitutional analysis depth for the wealth-surcharge architecture (likely in the Federal Income Tax Revenue Modified Architecture document or as a dedicated Constitutional Foundation document); and a Sovereign Fund Investment Policy Framework document complementary to the existing Sovereign Fund Governance Design document. The MIN findings represent incremental improvements rather than blocking issues; the platform's response could be a single subsequent iteration addressing the MIN cluster collectively (analogous to v3.1.6's clearing of the P2-P6 MIN backlog) or sequential treatment over several iterations. The OBS findings document positive observations; no platform response is required.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