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GENDER PAY GAP</w:t>
      </w:r>
    </w:p>
    <w:p>
      <w:pPr>
        <w:spacing w:after="200"/>
        <w:jc w:val="center"/>
      </w:pPr>
      <w:r>
        <w:rPr>
          <w:rFonts w:ascii="Arial" w:cs="Arial" w:eastAsia="Arial" w:hAnsi="Arial"/>
          <w:b/>
          <w:bCs/>
          <w:color w:val="1F4E78"/>
          <w:sz w:val="46"/>
          <w:szCs w:val="46"/>
        </w:rPr>
        <w:t>AND INDIRECT MECHANISMS</w:t>
      </w:r>
    </w:p>
    <w:p>
      <w:pPr>
        <w:spacing w:after="200"/>
        <w:jc w:val="center"/>
      </w:pPr>
      <w:r>
        <w:rPr>
          <w:rFonts w:ascii="Arial" w:cs="Arial" w:eastAsia="Arial" w:hAnsi="Arial"/>
          <w:i/>
          <w:iCs/>
          <w:color w:val="C00000"/>
          <w:sz w:val="28"/>
          <w:szCs w:val="28"/>
        </w:rPr>
        <w:t>How the Platform's Architecture Affects Earnings Disparities Between Men and Women</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What is the gender pay gap and how does it persist in the United States?</w:t>
      </w:r>
    </w:p>
    <w:p>
      <w:pPr>
        <w:spacing w:after="200"/>
        <w:jc w:val="center"/>
      </w:pPr>
      <w:r>
        <w:rPr>
          <w:rFonts w:ascii="Georgia" w:cs="Georgia" w:eastAsia="Georgia" w:hAnsi="Georgia"/>
          <w:i/>
          <w:iCs/>
          <w:color w:val="1A1A1A"/>
          <w:sz w:val="24"/>
          <w:szCs w:val="24"/>
        </w:rPr>
        <w:t>What indirect mechanisms in the platform's architecture would reduce the gap?</w:t>
      </w:r>
    </w:p>
    <w:p>
      <w:pPr>
        <w:spacing w:after="1200"/>
        <w:jc w:val="center"/>
      </w:pPr>
      <w:r>
        <w:rPr>
          <w:rFonts w:ascii="Georgia" w:cs="Georgia" w:eastAsia="Georgia" w:hAnsi="Georgia"/>
          <w:i/>
          <w:iCs/>
          <w:color w:val="1A1A1A"/>
          <w:sz w:val="24"/>
          <w:szCs w:val="24"/>
        </w:rPr>
        <w:t>What does the platform NOT do that pay-gap-focused proposals typically include?</w:t>
      </w:r>
    </w:p>
    <w:p>
      <w:pPr>
        <w:spacing w:before="1200"/>
      </w:pPr>
      <w:r>
        <w:t xml:space="preserve"/>
      </w:r>
    </w:p>
    <w:p>
      <w:pPr>
        <w:spacing w:after="80"/>
        <w:jc w:val="center"/>
      </w:pPr>
      <w:r>
        <w:rPr>
          <w:rFonts w:ascii="Georgia" w:cs="Georgia" w:eastAsia="Georgia" w:hAnsi="Georgia"/>
          <w:i/>
          <w:iCs/>
          <w:color w:val="595959"/>
          <w:sz w:val="22"/>
          <w:szCs w:val="22"/>
        </w:rPr>
        <w:t>An Analytical Framing Document</w:t>
      </w:r>
    </w:p>
    <w:p>
      <w:pPr>
        <w:spacing w:after="80"/>
        <w:jc w:val="center"/>
      </w:pPr>
      <w:r>
        <w:rPr>
          <w:rFonts w:ascii="Georgia" w:cs="Georgia" w:eastAsia="Georgia" w:hAnsi="Georgia"/>
          <w:b/>
          <w:bCs/>
          <w:color w:val="1A1A1A"/>
          <w:sz w:val="24"/>
          <w:szCs w:val="24"/>
        </w:rPr>
        <w:t>Jason Robertson</w:t>
      </w:r>
    </w:p>
    <w:p>
      <w:pPr>
        <w:spacing w:before="480"/>
        <w:jc w:val="center"/>
      </w:pPr>
      <w:r>
        <w:rPr>
          <w:rFonts w:ascii="Arial" w:cs="Arial" w:eastAsia="Arial" w:hAnsi="Arial"/>
          <w:i/>
          <w:iCs/>
          <w:color w:val="595959"/>
          <w:sz w:val="16"/>
          <w:szCs w:val="16"/>
        </w:rPr>
        <w:t>v1.1  ·  Created May 6, 2026 for v2.22  ·  Updated May 6, 2026 for v2.30.29 (RESEARCH-6 intersectional analysis framework)  ·  Updated May 10, 2026 for v3.7.13 (recalibration cadence updated)</w:t>
      </w:r>
    </w:p>
    <w:p>
      <w:pPr>
        <w:jc w:val="center"/>
      </w:pPr>
      <w:r>
        <w:rPr>
          <w:rFonts w:ascii="Georgia" w:cs="Georgia" w:eastAsia="Georgia" w:hAnsi="Georgia"/>
          <w:color w:val="595959"/>
          <w:sz w:val="20"/>
          <w:szCs w:val="20"/>
        </w:rPr>
        <w:t>Ohio  ·  2026</w:t>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BLS Current Population Survey wage data 2023-2024 for gender wage gap figures; Census Bureau for labor-force participation rate data. Platform-canonical contribution rates (0.8 percent employer / 0.5 percent employee for childcare; 0.5 percent employer / 0.3 percent employee for mental health) are documented in the Open Issues Registry's OPEN-1 canonical resolution and detailed in the respective pillar substantiation documents.</w:t>
      </w:r>
    </w:p>
    <w:p>
      <w:pPr>
        <w:pStyle w:val="Heading1"/>
      </w:pPr>
      <w:r>
        <w:t>The Question This Document Addresses</w:t>
      </w:r>
    </w:p>
    <w:p>
      <w:pPr>
        <w:spacing w:after="240" w:before="480"/>
      </w:pPr>
      <w:r>
        <w:rPr>
          <w:rFonts w:ascii="Arial" w:cs="Arial" w:eastAsia="Arial" w:hAnsi="Arial"/>
          <w:b/>
          <w:bCs/>
          <w:color w:val="1F4E78"/>
          <w:sz w:val="36"/>
          <w:szCs w:val="36"/>
        </w:rPr>
        <w:t>Women in the United States earn approximately 84 cents for every dollar earned by men when comparing median annual earnings of full-time, year-round workers (US Census Bureau Current Population Survey, recent years). This 16 percent raw gap is the most commonly cited figure. After controlling for occupation, hours, education, and tenure, the unexplained portion of the gap is approximately 5 to 10 percent. The gap is larger for women of color, larger for women with children (the motherhood penalty), and larger in some industries than others. The gap has narrowed over the past five decades but progress has slowed in recent years.</w:t>
      </w:r>
    </w:p>
    <w:p>
      <w:pPr>
        <w:spacing w:after="240" w:before="480"/>
      </w:pPr>
      <w:r>
        <w:rPr>
          <w:rFonts w:ascii="Arial" w:cs="Arial" w:eastAsia="Arial" w:hAnsi="Arial"/>
          <w:b/>
          <w:bCs/>
          <w:color w:val="1F4E78"/>
          <w:sz w:val="36"/>
          <w:szCs w:val="36"/>
        </w:rPr>
        <w:t>The platform's documents through v2.21 do not explicitly address the gender pay gap. The platform's wage floor architecture is occupation-based and uses BLS (Bureau of Labor Statistics) Occupational Employment and Wage Statistics data, which does not break down by gender. The wage floor Concept Analysis, wage floor Empirical Analysis, and Wage Floors As Tax Architecture documents do not mention women, gender, pay gap, or pay equity. The Community Contribution Plan whitepaper mentions gender once, in a list of future analytical work items: 'Distributional analysis by income decile, race, gender, and geography.'</w:t>
      </w:r>
    </w:p>
    <w:p>
      <w:pPr>
        <w:spacing w:after="240" w:before="480"/>
      </w:pPr>
      <w:r>
        <w:rPr>
          <w:rFonts w:ascii="Arial" w:cs="Arial" w:eastAsia="Arial" w:hAnsi="Arial"/>
          <w:b/>
          <w:bCs/>
          <w:color w:val="1F4E78"/>
          <w:sz w:val="36"/>
          <w:szCs w:val="36"/>
        </w:rPr>
        <w:t>However, the platform has three structural mechanisms that would reduce the gender pay gap as an indirect benefit of architecture choices made for other reasons. This document analyzes those mechanisms, estimates the magnitude of their effect on the gap, and is honest about what the platform does NOT do that pay-gap-focused policy proposals typically include. The document is offered in the same spirit as the v2.14 through v2.21 phased-expansion documents: making implicit platform effects explicit, identifying gaps the platform does not currently address, and outlining design directions future platform versions could take.</w:t>
      </w:r>
    </w:p>
    <w:p>
      <w:pPr>
        <w:pStyle w:val="Heading1"/>
      </w:pPr>
      <w:r>
        <w:t>How the Pay Gap Decomposes</w:t>
      </w:r>
    </w:p>
    <w:p>
      <w:pPr>
        <w:spacing w:after="240" w:before="480"/>
      </w:pPr>
      <w:r>
        <w:rPr>
          <w:rFonts w:ascii="Arial" w:cs="Arial" w:eastAsia="Arial" w:hAnsi="Arial"/>
          <w:b/>
          <w:bCs/>
          <w:color w:val="1F4E78"/>
          <w:sz w:val="36"/>
          <w:szCs w:val="36"/>
        </w:rPr>
        <w:t>The 16 percent raw gender pay gap among full-time year-round US workers is the result of several distinct mechanisms operating simultaneously. Understanding the decomposition is necessary to understand which mechanisms platform architecture can affect and which it cannot.  (Source baseline: see Sources_And_Derivation_Convention.docx.)</w:t>
      </w:r>
    </w:p>
    <w:p>
      <w:pPr>
        <w:spacing w:after="240" w:before="480"/>
      </w:pPr>
      <w:r>
        <w:rPr>
          <w:rFonts w:ascii="Arial" w:cs="Arial" w:eastAsia="Arial" w:hAnsi="Arial"/>
          <w:b/>
          <w:bCs/>
          <w:color w:val="1F4E78"/>
          <w:sz w:val="36"/>
          <w:szCs w:val="36"/>
        </w:rPr>
        <w:t>Occupational segregation accounts for an estimated 40 to 50 percent of the raw gap. Women are disproportionately employed in occupations with lower median wages: childcare workers, home health aides, personal care aides, retail sales, food preparation, certain healthcare support roles, K-12 education, social work, and nonprofit administration. Men are disproportionately employed in higher-paying occupations: engineering, software development, skilled trades (especially construction and electrical), management, finance, and certain technical fields. This is sometimes called horizontal segregation.  (Source baseline: see Sources_And_Derivation_Convention.docx.)</w:t>
      </w:r>
    </w:p>
    <w:p>
      <w:pPr>
        <w:spacing w:after="240" w:before="480"/>
      </w:pPr>
      <w:r>
        <w:rPr>
          <w:rFonts w:ascii="Arial" w:cs="Arial" w:eastAsia="Arial" w:hAnsi="Arial"/>
          <w:b/>
          <w:bCs/>
          <w:color w:val="1F4E78"/>
          <w:sz w:val="36"/>
          <w:szCs w:val="36"/>
        </w:rPr>
        <w:t>The motherhood penalty accounts for an estimated 30 to 40 percent of the raw gap among women age 30 and older. Women's earnings drop sharply after the birth of a first child and rarely fully recover, while men's earnings are largely unaffected by parenthood (and in some studies show a slight fatherhood premium). The motherhood penalty operates through interrupted labor force participation during early childcare years, reduced hours, occupational shifts toward family-flexible work, and direct discrimination against mothers in hiring and promotion.</w:t>
      </w:r>
    </w:p>
    <w:p>
      <w:pPr>
        <w:spacing w:after="240" w:before="480"/>
      </w:pPr>
      <w:r>
        <w:rPr>
          <w:rFonts w:ascii="Arial" w:cs="Arial" w:eastAsia="Arial" w:hAnsi="Arial"/>
          <w:b/>
          <w:bCs/>
          <w:color w:val="1F4E78"/>
          <w:sz w:val="36"/>
          <w:szCs w:val="36"/>
        </w:rPr>
        <w:t>The unexplained gap accounts for an estimated 10 to 20 percent of the raw gap and is what most pay-equity legislation targets. After controlling for occupation, hours, education, tenure, geography, and other observable factors, women in the same job as men earn approximately 5 to 10 cents less per dollar. This is the portion attributed to discrimination in pay-setting, negotiation differences, and other factors that are difficult to measure directly. Equal-pay-for-equal-work enforcement, pay transparency requirements, and salary history bans target this portion.  (Source baseline: see Sources_And_Derivation_Convention.docx.)</w:t>
      </w:r>
    </w:p>
    <w:p>
      <w:pPr>
        <w:spacing w:after="240" w:before="480"/>
      </w:pPr>
      <w:r>
        <w:rPr>
          <w:rFonts w:ascii="Arial" w:cs="Arial" w:eastAsia="Arial" w:hAnsi="Arial"/>
          <w:b/>
          <w:bCs/>
          <w:color w:val="1F4E78"/>
          <w:sz w:val="36"/>
          <w:szCs w:val="36"/>
        </w:rPr>
        <w:t>Vertical segregation (the underrepresentation of women in senior positions within the same occupation or firm) interacts with all of the above. Women are underrepresented in C-suite and senior management roles, in tenured academic positions, in partnership at law and accounting firms, and in many other senior tracks. This is sometimes a separate mechanism and sometimes a downstream consequence of the motherhood penalty and occupational segregation.</w:t>
      </w:r>
    </w:p>
    <w:p>
      <w:pPr>
        <w:pStyle w:val="Heading1"/>
      </w:pPr>
      <w:r>
        <w:t>Platform Mechanisms That Reduce the Gap</w:t>
      </w:r>
    </w:p>
    <w:p>
      <w:pPr>
        <w:spacing w:after="240" w:before="480"/>
      </w:pPr>
      <w:r>
        <w:rPr>
          <w:rFonts w:ascii="Arial" w:cs="Arial" w:eastAsia="Arial" w:hAnsi="Arial"/>
          <w:b/>
          <w:bCs/>
          <w:color w:val="1F4E78"/>
          <w:sz w:val="36"/>
          <w:szCs w:val="36"/>
        </w:rPr>
        <w:t>The platform's architecture includes three mechanisms that would reduce the gender pay gap as an indirect benefit. Each mechanism was designed for reasons other than pay-gap reduction, but each has substantial effects on the gap.</w:t>
      </w:r>
    </w:p>
    <w:p>
      <w:pPr>
        <w:pStyle w:val="Heading2"/>
        <w:spacing w:after="160" w:before="360"/>
      </w:pPr>
      <w:r>
        <w:rPr>
          <w:rFonts w:ascii="Arial" w:cs="Arial" w:eastAsia="Arial" w:hAnsi="Arial"/>
          <w:b/>
          <w:bCs/>
          <w:color w:val="1F4E78"/>
          <w:sz w:val="28"/>
          <w:szCs w:val="28"/>
        </w:rPr>
        <w:t>Mechanism 1: Universal Childcare Addresses the Motherhood Penalty</w:t>
      </w:r>
    </w:p>
    <w:p>
      <w:pPr>
        <w:spacing w:after="240" w:before="480"/>
      </w:pPr>
      <w:r>
        <w:rPr>
          <w:rFonts w:ascii="Arial" w:cs="Arial" w:eastAsia="Arial" w:hAnsi="Arial"/>
          <w:b/>
          <w:bCs/>
          <w:color w:val="1F4E78"/>
          <w:sz w:val="36"/>
          <w:szCs w:val="36"/>
        </w:rPr>
        <w:t>Universal childcare (the platform's adjacent pillar funded through a 0.8 percent employer / 0.5 percent employee payroll contribution) directly addresses the largest single mechanism in the motherhood penalty: the cost and availability of childcare during early child-rearing years. The Adjacent Pillars Under Development document states explicitly that childcare cost 'falls disproportionately on women, whose workforce participation is materially affected by childcare availability and cost.' The Built For What's Coming document states that universal childcare is 'particularly important for women, who currently bear disproportionate cost when childcare arrangements break down due to economic disruption.'  (Source baseline: see Sources_And_Derivation_Convention.docx.)</w:t>
      </w:r>
    </w:p>
    <w:p>
      <w:pPr>
        <w:spacing w:after="240" w:before="480"/>
      </w:pPr>
      <w:r>
        <w:rPr>
          <w:rFonts w:ascii="Arial" w:cs="Arial" w:eastAsia="Arial" w:hAnsi="Arial"/>
          <w:b/>
          <w:bCs/>
          <w:color w:val="1F4E78"/>
          <w:sz w:val="36"/>
          <w:szCs w:val="36"/>
        </w:rPr>
        <w:t>Quebec's universal childcare program (the model the platform adopts) increased mothers' labor force participation by approximately 8 to 10 percentage points relative to comparison regions, with effects concentrated among mothers with young children. Several studies of Quebec's program found that mothers' wages and career trajectories improved over time as mothers were able to maintain continuous employment rather than experiencing career interruptions. The platform's Quebec-model universal childcare would be expected to produce comparable effects in the United States, narrowing the motherhood penalty meaningfully.</w:t>
      </w:r>
    </w:p>
    <w:p>
      <w:pPr>
        <w:spacing w:after="240" w:before="480"/>
      </w:pPr>
      <w:r>
        <w:rPr>
          <w:rFonts w:ascii="Arial" w:cs="Arial" w:eastAsia="Arial" w:hAnsi="Arial"/>
          <w:b/>
          <w:bCs/>
          <w:color w:val="1F4E78"/>
          <w:sz w:val="36"/>
          <w:szCs w:val="36"/>
        </w:rPr>
        <w:t>Estimated magnitude of effect on the pay gap: if universal childcare reduces the motherhood penalty by 30 to 50 percent (consistent with Quebec literature), and the motherhood penalty currently accounts for 30 to 40 percent of the raw gender pay gap, this mechanism alone could reduce the raw gap by approximately 9 to 20 percent (i.e., narrow it from 16 percent to roughly 13 to 14.5 percent). This is a substantial effect even though the platform's universal childcare commitment was not designed with pay-gap reduction as its primary objective.  (Source baseline: see Sources_And_Derivation_Convention.docx.)</w:t>
      </w:r>
    </w:p>
    <w:p>
      <w:pPr>
        <w:pStyle w:val="Heading2"/>
        <w:spacing w:after="160" w:before="360"/>
      </w:pPr>
      <w:r>
        <w:rPr>
          <w:rFonts w:ascii="Arial" w:cs="Arial" w:eastAsia="Arial" w:hAnsi="Arial"/>
          <w:b/>
          <w:bCs/>
          <w:color w:val="1F4E78"/>
          <w:sz w:val="28"/>
          <w:szCs w:val="28"/>
        </w:rPr>
        <w:t>Mechanism 2: Empirical Wage Floors Raise Pay in Female-Dominated Occupations</w:t>
      </w:r>
    </w:p>
    <w:p>
      <w:pPr>
        <w:spacing w:after="240" w:before="480"/>
      </w:pPr>
      <w:r>
        <w:rPr>
          <w:rFonts w:ascii="Arial" w:cs="Arial" w:eastAsia="Arial" w:hAnsi="Arial"/>
          <w:b/>
          <w:bCs/>
          <w:color w:val="1F4E78"/>
          <w:sz w:val="36"/>
          <w:szCs w:val="36"/>
        </w:rPr>
        <w:t>The platform's empirical wage floor architecture sets occupation-specific minimum wages at the 25th percentile of actual wages currently paid in that occupation, recalibrated annually using a smoothed three-year moving average of BLS Occupational Employment and Wage Statistics data. Many of the lowest-wage occupations in the BLS data are female-dominated. Childcare workers (currently 95 percent female), home health aides (89 percent female), personal care aides (85 percent female), preschool and kindergarten teachers (97 percent female), nursing assistants (88 percent female), maids and housekeeping cleaners (88 percent female), and certain retail and food service occupations have median wages well below $35,000 per year. Setting wage floors at the 25th percentile would raise pay in these occupations to at least the 25th percentile of current wages — an increase that would disproportionately benefit women given the gender composition of these occupations.</w:t>
      </w:r>
    </w:p>
    <w:p>
      <w:pPr>
        <w:spacing w:after="240" w:before="480"/>
      </w:pPr>
      <w:r>
        <w:rPr>
          <w:rFonts w:ascii="Arial" w:cs="Arial" w:eastAsia="Arial" w:hAnsi="Arial"/>
          <w:b/>
          <w:bCs/>
          <w:color w:val="1F4E78"/>
          <w:sz w:val="36"/>
          <w:szCs w:val="36"/>
        </w:rPr>
        <w:t>Estimated magnitude of effect on the pay gap: approximately 30 to 40 percent of the gender pay gap attributable to occupational segregation operates through the cluster of occupations where female-dominated work is also low-wage work. Raising wage floors in these occupations to the 25th percentile would close approximately 25 to 35 percent of the occupational segregation portion of the pay gap, which translates to approximately 10 to 17 percent of the raw gap. The wage floor architecture does not address occupational segregation itself (women would still be disproportionately employed in these occupations) but it does narrow the wage penalty associated with female-dominated work.  (Source baseline: see Sources_And_Derivation_Convention.docx.)</w:t>
      </w:r>
    </w:p>
    <w:p>
      <w:pPr>
        <w:pStyle w:val="Heading2"/>
        <w:spacing w:after="160" w:before="360"/>
      </w:pPr>
      <w:r>
        <w:rPr>
          <w:rFonts w:ascii="Arial" w:cs="Arial" w:eastAsia="Arial" w:hAnsi="Arial"/>
          <w:b/>
          <w:bCs/>
          <w:color w:val="1F4E78"/>
          <w:sz w:val="28"/>
          <w:szCs w:val="28"/>
        </w:rPr>
        <w:t>Mechanism 3: Universal Healthcare Reduces Job-Lock That Disproportionately Affects Women</w:t>
      </w:r>
    </w:p>
    <w:p>
      <w:pPr>
        <w:spacing w:after="240" w:before="480"/>
      </w:pPr>
      <w:r>
        <w:rPr>
          <w:rFonts w:ascii="Arial" w:cs="Arial" w:eastAsia="Arial" w:hAnsi="Arial"/>
          <w:b/>
          <w:bCs/>
          <w:color w:val="1F4E78"/>
          <w:sz w:val="36"/>
          <w:szCs w:val="36"/>
        </w:rPr>
        <w:t>Universal healthcare (the platform's adjacent pillar funded through a 4% employer / 2% employee payroll contribution) decouples healthcare access from employment status, occupation, and employer choice. Job-lock — where workers remain in suboptimal employment to retain healthcare coverage — disproportionately affects women in two ways. First, women are more likely than men to work part-time for healthcare benefits (often as a secondary earner with healthcare coverage through a partner's employer plan). Second, women are more likely to face the choice between continuing employment and leaving the workforce for caregiving responsibilities; the loss of healthcare coverage that accompanies job loss intensifies this choice.</w:t>
      </w:r>
    </w:p>
    <w:p>
      <w:pPr>
        <w:spacing w:after="240" w:before="480"/>
      </w:pPr>
      <w:r>
        <w:rPr>
          <w:rFonts w:ascii="Arial" w:cs="Arial" w:eastAsia="Arial" w:hAnsi="Arial"/>
          <w:b/>
          <w:bCs/>
          <w:color w:val="1F4E78"/>
          <w:sz w:val="36"/>
          <w:szCs w:val="36"/>
        </w:rPr>
        <w:t>Universal healthcare access removes both forms of job-lock. Women who currently work part-time for healthcare benefits could pursue full-time work without losing coverage. Women who currently remain in suboptimal employment for coverage reasons could pursue higher-paying alternatives. Women who leave the workforce for caregiving could re-enter without facing the healthcare-access barrier. The Built For What's Coming document discusses this in the context of AI workforce transition but the same logic applies to ordinary career trajectories.</w:t>
      </w:r>
    </w:p>
    <w:p>
      <w:pPr>
        <w:spacing w:after="240" w:before="480"/>
      </w:pPr>
      <w:r>
        <w:rPr>
          <w:rFonts w:ascii="Arial" w:cs="Arial" w:eastAsia="Arial" w:hAnsi="Arial"/>
          <w:b/>
          <w:bCs/>
          <w:color w:val="1F4E78"/>
          <w:sz w:val="36"/>
          <w:szCs w:val="36"/>
        </w:rPr>
        <w:t>Estimated magnitude of effect on the pay gap: this mechanism is the smallest of the three in direct effect on wages but operates as a multiplier on the other two. Studies of Massachusetts health reform (the closest US precedent) found small but measurable increases in women's labor force participation and full-time employment after universal-coverage implementation. Estimated reduction of the raw pay gap from this mechanism: approximately 1 to 3 percent.</w:t>
      </w:r>
    </w:p>
    <w:p>
      <w:pPr>
        <w:pStyle w:val="Heading1"/>
      </w:pPr>
      <w:r>
        <w:t>Combined Effect Estimate and Honest Caveats</w:t>
      </w:r>
    </w:p>
    <w:p>
      <w:pPr>
        <w:spacing w:after="240" w:before="480"/>
      </w:pPr>
      <w:r>
        <w:rPr>
          <w:rFonts w:ascii="Arial" w:cs="Arial" w:eastAsia="Arial" w:hAnsi="Arial"/>
          <w:b/>
          <w:bCs/>
          <w:color w:val="1F4E78"/>
          <w:sz w:val="36"/>
          <w:szCs w:val="36"/>
        </w:rPr>
        <w:t>Combining the three mechanisms, the platform's architecture would be expected to reduce the raw gender pay gap by approximately 30 to 40 percent — that is, narrow the gap from approximately 16 cents on the dollar to approximately 10 to 11 cents on the dollar. This is a substantial effect for a set of architecture choices not designed primarily for pay-gap reduction. The remaining gap would be the unexplained portion (5 to 10 percent) plus residual occupational segregation effects not addressed by wage floors, plus some residual motherhood penalty not addressed by childcare alone.  (Source baseline: see Sources_And_Derivation_Convention.docx.)</w:t>
      </w:r>
    </w:p>
    <w:p>
      <w:pPr>
        <w:spacing w:after="240" w:before="480"/>
      </w:pPr>
      <w:r>
        <w:rPr>
          <w:rFonts w:ascii="Arial" w:cs="Arial" w:eastAsia="Arial" w:hAnsi="Arial"/>
          <w:b/>
          <w:bCs/>
          <w:color w:val="1F4E78"/>
          <w:sz w:val="36"/>
          <w:szCs w:val="36"/>
        </w:rPr>
        <w:t>Honest caveats apply to this estimate. First, the literature on each mechanism is well-established but the magnitudes vary substantially across studies and regions. Second, interaction effects between the three mechanisms are difficult to estimate; they may be synergistic (each reinforcing the others) or partially redundant (each addressing partially overlapping portions of the gap). Third, US implementation may produce different effects than Quebec or Massachusetts due to differences in labor markets, demographic composition, and program design. Fourth, the platform's effects on the pay gap depend on actual uptake of universal childcare and universal healthcare, which the Behavioral Economics And Uptake Friction document examines as a real risk.</w:t>
      </w:r>
    </w:p>
    <w:p>
      <w:pPr>
        <w:spacing w:after="240" w:before="480"/>
      </w:pPr>
      <w:r>
        <w:rPr>
          <w:rFonts w:ascii="Arial" w:cs="Arial" w:eastAsia="Arial" w:hAnsi="Arial"/>
          <w:b/>
          <w:bCs/>
          <w:color w:val="1F4E78"/>
          <w:sz w:val="36"/>
          <w:szCs w:val="36"/>
        </w:rPr>
        <w:t>The estimate should therefore be understood as 'plausible directional magnitude' rather than 'rigorous quantitative prediction.' The platform's effect on the pay gap is meaningful and substantively positive, but the precise magnitude requires empirical investigation that this document does not conduct.</w:t>
      </w:r>
    </w:p>
    <w:p>
      <w:pPr>
        <w:pStyle w:val="Heading1"/>
      </w:pPr>
      <w:r>
        <w:t>What the Platform Does NOT Do</w:t>
      </w:r>
    </w:p>
    <w:p>
      <w:pPr>
        <w:spacing w:after="240" w:before="480"/>
      </w:pPr>
      <w:r>
        <w:rPr>
          <w:rFonts w:ascii="Arial" w:cs="Arial" w:eastAsia="Arial" w:hAnsi="Arial"/>
          <w:b/>
          <w:bCs/>
          <w:color w:val="1F4E78"/>
          <w:sz w:val="36"/>
          <w:szCs w:val="36"/>
        </w:rPr>
        <w:t>The platform's architecture indirectly reduces the gender pay gap through the three mechanisms described above. The platform does NOT include the targeted pay-equity instruments that pay-gap-focused policy proposals typically include. This section is honest about that gap.</w:t>
      </w:r>
    </w:p>
    <w:p>
      <w:pPr>
        <w:spacing w:after="240" w:before="480"/>
      </w:pPr>
      <w:r>
        <w:rPr>
          <w:rFonts w:ascii="Arial" w:cs="Arial" w:eastAsia="Arial" w:hAnsi="Arial"/>
          <w:b/>
          <w:bCs/>
          <w:color w:val="1F4E78"/>
          <w:sz w:val="36"/>
          <w:szCs w:val="36"/>
        </w:rPr>
        <w:t>No equal-pay-for-equal-work enforcement. The platform does not include enforcement of equal pay for equal work. Existing federal law (the Equal Pay Act of 1963) prohibits pay discrimination on the basis of sex but is rarely enforced effectively. The platform does not propose strengthening Equal Pay Act enforcement, expanding its scope, or creating new enforcement mechanisms. The unexplained portion of the pay gap (5 to 10 percent) is therefore largely unaddressed by the platform.</w:t>
      </w:r>
    </w:p>
    <w:p>
      <w:pPr>
        <w:spacing w:after="240" w:before="480"/>
      </w:pPr>
      <w:r>
        <w:rPr>
          <w:rFonts w:ascii="Arial" w:cs="Arial" w:eastAsia="Arial" w:hAnsi="Arial"/>
          <w:b/>
          <w:bCs/>
          <w:color w:val="1F4E78"/>
          <w:sz w:val="36"/>
          <w:szCs w:val="36"/>
        </w:rPr>
        <w:t>No pay transparency requirements. Pay transparency laws (which require employers to disclose salary ranges in job postings or to provide wage information to employees) have been associated with measurable pay-gap reductions in jurisdictions that have implemented them. The platform does not propose pay transparency requirements at the federal level. States retain authority to implement pay transparency under the platform's federal-state cooperation framework but the platform does not advance this directly.</w:t>
      </w:r>
    </w:p>
    <w:p>
      <w:pPr>
        <w:spacing w:after="240" w:before="480"/>
      </w:pPr>
      <w:r>
        <w:rPr>
          <w:rFonts w:ascii="Arial" w:cs="Arial" w:eastAsia="Arial" w:hAnsi="Arial"/>
          <w:b/>
          <w:bCs/>
          <w:color w:val="1F4E78"/>
          <w:sz w:val="36"/>
          <w:szCs w:val="36"/>
        </w:rPr>
        <w:t>No salary history ban. Salary history bans (which prohibit employers from asking about applicants' previous compensation) have been associated with measurable pay-gap reductions in jurisdictions that have implemented them. The platform does not propose a federal salary history ban.</w:t>
      </w:r>
    </w:p>
    <w:p>
      <w:pPr>
        <w:spacing w:after="240" w:before="480"/>
      </w:pPr>
      <w:r>
        <w:rPr>
          <w:rFonts w:ascii="Arial" w:cs="Arial" w:eastAsia="Arial" w:hAnsi="Arial"/>
          <w:b/>
          <w:bCs/>
          <w:color w:val="1F4E78"/>
          <w:sz w:val="36"/>
          <w:szCs w:val="36"/>
        </w:rPr>
        <w:t>Prior to v3.2.0, no paid family leave provision; v3.2.0 added Pillar Eight. Paid family leave is one of the most direct policy interventions for reducing the motherhood penalty. The United States is one of very few developed nations without a federal paid family leave commitment. Prior to v3.2.0, the platform did not propose paid family leave. v3.2.0 elevated this to Pillar Eight (Universal Paid Family Time), formalizing what had been documented as Direction A in this document. The Family and Medical Leave Act of 1993 provides only unpaid leave to a subset of workers; the platform does not propose changing this. This is a real gap in the platform's pay-gap-reduction architecture: universal childcare addresses care during the working period after parental leave but does not address the leave period itself.</w:t>
      </w:r>
    </w:p>
    <w:p>
      <w:pPr>
        <w:spacing w:after="240" w:before="480"/>
      </w:pPr>
      <w:r>
        <w:rPr>
          <w:rFonts w:ascii="Arial" w:cs="Arial" w:eastAsia="Arial" w:hAnsi="Arial"/>
          <w:b/>
          <w:bCs/>
          <w:color w:val="1F4E78"/>
          <w:sz w:val="36"/>
          <w:szCs w:val="36"/>
        </w:rPr>
        <w:t>No anti-discrimination provisions. The platform does not include new anti-discrimination provisions in employment, hiring, promotion, or compensation. Existing federal law (Title VII of the Civil Rights Act of 1964) prohibits sex discrimination in employment but the platform does not propose strengthening enforcement, expanding protections, or creating new mechanisms for anti-discrimination work.</w:t>
      </w:r>
    </w:p>
    <w:p>
      <w:pPr>
        <w:spacing w:after="240" w:before="480"/>
      </w:pPr>
      <w:r>
        <w:rPr>
          <w:rFonts w:ascii="Arial" w:cs="Arial" w:eastAsia="Arial" w:hAnsi="Arial"/>
          <w:b/>
          <w:bCs/>
          <w:color w:val="1F4E78"/>
          <w:sz w:val="36"/>
          <w:szCs w:val="36"/>
        </w:rPr>
        <w:t>No comparable-worth or pay-equity reclassification. Comparable-worth frameworks (which compare wages across occupations of comparable skill, effort, responsibility, and working conditions) have been used in some jurisdictions to identify and remediate occupational segregation effects on pay. The platform's empirical wage floors operate within occupational classifications rather than across them; the platform does not propose comparable-worth reclassification.</w:t>
      </w:r>
    </w:p>
    <w:p>
      <w:pPr>
        <w:spacing w:after="240" w:before="480"/>
      </w:pPr>
      <w:r>
        <w:rPr>
          <w:rFonts w:ascii="Arial" w:cs="Arial" w:eastAsia="Arial" w:hAnsi="Arial"/>
          <w:b/>
          <w:bCs/>
          <w:color w:val="1F4E78"/>
          <w:sz w:val="36"/>
          <w:szCs w:val="36"/>
        </w:rPr>
        <w:t>No occupational anti-segregation interventions. The platform does not include programs to reduce occupational segregation directly — for example, recruitment incentives for women in underrepresented fields, workplace policies addressing the experience of women in male-dominated fields, or other interventions that have been used to reduce segregation. The Sovereign Education Fund's per-student funding follows the student rather than directing students toward particular fields, which means the platform does not actively encourage women to enter higher-paying male-dominated occupations.</w:t>
      </w:r>
    </w:p>
    <w:p>
      <w:pPr>
        <w:pStyle w:val="Heading1"/>
      </w:pPr>
      <w:r>
        <w:t>Design Directions for Future Platform Versions</w:t>
      </w:r>
    </w:p>
    <w:p>
      <w:pPr>
        <w:spacing w:after="240" w:before="480"/>
      </w:pPr>
      <w:r>
        <w:rPr>
          <w:rFonts w:ascii="Arial" w:cs="Arial" w:eastAsia="Arial" w:hAnsi="Arial"/>
          <w:b/>
          <w:bCs/>
          <w:color w:val="1F4E78"/>
          <w:sz w:val="36"/>
          <w:szCs w:val="36"/>
        </w:rPr>
        <w:t>Several design directions could integrate explicit pay-gap-reduction work into future platform versions. Each is briefly outlined here. None requires fundamental redesign of the current architecture; each is an addition that could be made without disturbing existing commitments.</w:t>
      </w:r>
    </w:p>
    <w:p>
      <w:pPr>
        <w:pStyle w:val="Heading2"/>
        <w:spacing w:after="160" w:before="360"/>
      </w:pPr>
      <w:r>
        <w:rPr>
          <w:rFonts w:ascii="Arial" w:cs="Arial" w:eastAsia="Arial" w:hAnsi="Arial"/>
          <w:b/>
          <w:bCs/>
          <w:color w:val="1F4E78"/>
          <w:sz w:val="28"/>
          <w:szCs w:val="28"/>
        </w:rPr>
        <w:t>Direction A: Federal Paid Family Leave Commitment</w:t>
      </w:r>
    </w:p>
    <w:p>
      <w:pPr>
        <w:spacing w:after="240" w:before="480"/>
      </w:pPr>
      <w:r>
        <w:rPr>
          <w:rFonts w:ascii="Arial" w:cs="Arial" w:eastAsia="Arial" w:hAnsi="Arial"/>
          <w:b/>
          <w:bCs/>
          <w:color w:val="1F4E78"/>
          <w:sz w:val="36"/>
          <w:szCs w:val="36"/>
        </w:rPr>
        <w:t>A federal paid family leave commitment would directly address the motherhood penalty during the leave period itself, complementing universal childcare's effect on the post-leave period. Most developed nations provide 12 to 52 weeks of paid leave with replacement rates of 50 to 100 percent. A US commitment of 12 weeks at 60 percent wage replacement would cost approximately $40 to $60 billion per year and could be funded through a 0.4 percent payroll contribution similar to the platform's other adjacent pillars. The platform's federal-state cooperation framework would govern the interaction with existing state paid leave programs (California, New Jersey, New York, Washington, and several others have implemented state-level paid family leave).</w:t>
      </w:r>
    </w:p>
    <w:p>
      <w:pPr>
        <w:pStyle w:val="Heading2"/>
        <w:spacing w:after="160" w:before="360"/>
      </w:pPr>
      <w:r>
        <w:rPr>
          <w:rFonts w:ascii="Arial" w:cs="Arial" w:eastAsia="Arial" w:hAnsi="Arial"/>
          <w:b/>
          <w:bCs/>
          <w:color w:val="1F4E78"/>
          <w:sz w:val="28"/>
          <w:szCs w:val="28"/>
        </w:rPr>
        <w:t>Direction B: Pay Transparency as Federal Requirement</w:t>
      </w:r>
    </w:p>
    <w:p>
      <w:pPr>
        <w:spacing w:after="240" w:before="480"/>
      </w:pPr>
      <w:r>
        <w:rPr>
          <w:rFonts w:ascii="Arial" w:cs="Arial" w:eastAsia="Arial" w:hAnsi="Arial"/>
          <w:b/>
          <w:bCs/>
          <w:color w:val="1F4E78"/>
          <w:sz w:val="36"/>
          <w:szCs w:val="36"/>
        </w:rPr>
        <w:t>A federal pay transparency requirement (mandating salary range disclosure in job postings and prohibiting compensation secrecy clauses in employment contracts) could be incorporated into federal employment law without requiring significant new federal infrastructure. Enforcement could operate through existing Equal Employment Opportunity Commission procedures. Estimated effect on pay gap: empirical studies of state-level pay transparency laws show approximately 1 to 3 percent reduction in the raw gap; a federal version would produce similar effects.</w:t>
      </w:r>
    </w:p>
    <w:p>
      <w:pPr>
        <w:pStyle w:val="Heading2"/>
        <w:spacing w:after="160" w:before="360"/>
      </w:pPr>
      <w:r>
        <w:rPr>
          <w:rFonts w:ascii="Arial" w:cs="Arial" w:eastAsia="Arial" w:hAnsi="Arial"/>
          <w:b/>
          <w:bCs/>
          <w:color w:val="1F4E78"/>
          <w:sz w:val="28"/>
          <w:szCs w:val="28"/>
        </w:rPr>
        <w:t>Direction C: Strengthened Equal Pay Act Enforcement</w:t>
      </w:r>
    </w:p>
    <w:p>
      <w:pPr>
        <w:spacing w:after="240" w:before="480"/>
      </w:pPr>
      <w:r>
        <w:rPr>
          <w:rFonts w:ascii="Arial" w:cs="Arial" w:eastAsia="Arial" w:hAnsi="Arial"/>
          <w:b/>
          <w:bCs/>
          <w:color w:val="1F4E78"/>
          <w:sz w:val="36"/>
          <w:szCs w:val="36"/>
        </w:rPr>
        <w:t>Strengthening Equal Pay Act enforcement could address the unexplained portion of the pay gap (5 to 10 percent). Specific design elements could include: streamlined burden of proof for plaintiffs in equal-pay cases, expanded scope to cover comparable rather than identical work, mandatory employer pay-gap reporting (similar to UK gender pay gap reporting requirements), and increased penalties for documented pay discrimination. This direction operates through enforcement mechanisms rather than fiscal commitments and would have minimal direct cost.  (Source baseline: see Sources_And_Derivation_Convention.docx.)</w:t>
      </w:r>
    </w:p>
    <w:p>
      <w:pPr>
        <w:pStyle w:val="Heading2"/>
        <w:spacing w:after="160" w:before="360"/>
      </w:pPr>
      <w:r>
        <w:rPr>
          <w:rFonts w:ascii="Arial" w:cs="Arial" w:eastAsia="Arial" w:hAnsi="Arial"/>
          <w:b/>
          <w:bCs/>
          <w:color w:val="1F4E78"/>
          <w:sz w:val="28"/>
          <w:szCs w:val="28"/>
        </w:rPr>
        <w:t>Direction D: Comparable-Worth wage floor Adjustments</w:t>
      </w:r>
    </w:p>
    <w:p>
      <w:pPr>
        <w:spacing w:after="240" w:before="480"/>
      </w:pPr>
      <w:r>
        <w:rPr>
          <w:rFonts w:ascii="Arial" w:cs="Arial" w:eastAsia="Arial" w:hAnsi="Arial"/>
          <w:b/>
          <w:bCs/>
          <w:color w:val="1F4E78"/>
          <w:sz w:val="36"/>
          <w:szCs w:val="36"/>
        </w:rPr>
        <w:t>The platform's empirical wage floors could be modified to incorporate comparable-worth adjustments. Specifically: occupations with high female composition AND wage levels below what comparable-skill male-dominated occupations earn could have their floors set at a comparable-worth target rather than the 25th percentile of current wages. This would be a structural change to the wage floor architecture rather than an addition; it requires careful design to avoid distortions but is technically feasible within the platform's framework.</w:t>
      </w:r>
    </w:p>
    <w:p>
      <w:pPr>
        <w:pStyle w:val="Heading2"/>
        <w:spacing w:after="160" w:before="360"/>
      </w:pPr>
      <w:r>
        <w:rPr>
          <w:rFonts w:ascii="Arial" w:cs="Arial" w:eastAsia="Arial" w:hAnsi="Arial"/>
          <w:b/>
          <w:bCs/>
          <w:color w:val="1F4E78"/>
          <w:sz w:val="28"/>
          <w:szCs w:val="28"/>
        </w:rPr>
        <w:t>Direction E: Sovereign Education Fund Recruitment Incentives</w:t>
      </w:r>
    </w:p>
    <w:p>
      <w:pPr>
        <w:spacing w:after="240" w:before="480"/>
      </w:pPr>
      <w:r>
        <w:rPr>
          <w:rFonts w:ascii="Arial" w:cs="Arial" w:eastAsia="Arial" w:hAnsi="Arial"/>
          <w:b/>
          <w:bCs/>
          <w:color w:val="1F4E78"/>
          <w:sz w:val="36"/>
          <w:szCs w:val="36"/>
        </w:rPr>
        <w:t>The Sovereign Education Fund could include modest recruitment incentives for women in currently male-dominated higher-paying occupations (engineering, computer science, certain skilled trades) without conflicting with the platform's per-student-following-the-student design. Specifically: scholarships, mentorship programs, and workplace transition support could be funded as a small portion (0.5 to 1 percent) of the Sovereign Education Fund's annual disbursement. This direction would address occupational segregation directly but is small in fiscal magnitude and uncertain in effect (recruitment programs have shown mixed results in changing occupational composition).</w:t>
      </w:r>
    </w:p>
    <w:p>
      <w:pPr>
        <w:pStyle w:val="Heading1"/>
      </w:pPr>
      <w:r>
        <w:t>Intersectional Analysis Framework</w:t>
      </w:r>
    </w:p>
    <w:p>
      <w:pPr>
        <w:spacing w:after="240" w:before="480"/>
      </w:pPr>
      <w:r>
        <w:rPr>
          <w:rFonts w:ascii="Arial" w:cs="Arial" w:eastAsia="Arial" w:hAnsi="Arial"/>
          <w:b/>
          <w:bCs/>
          <w:color w:val="1F4E78"/>
          <w:sz w:val="36"/>
          <w:szCs w:val="36"/>
        </w:rPr>
        <w:t>This document's body analysis treats women as a single population. Open Issues Registry RESEARCH-6 noted that intersectional pay gaps (where race, ethnicity, disability status, and sexual orientation compound with gender) are acknowledged in this document's Combined Effect Estimate section but not analyzed in the body of the analysis. This section provides the intersectional analysis framework that RESEARCH-6 specifically asked for. Substantive data analysis (BLS by race-by-gender, Census occupation-by-demographics) still requires data sources the platform's analytical work has not engaged with at the level of detail needed; this section provides the framework and reasonable bounds for what such analysis would find.</w:t>
      </w:r>
    </w:p>
    <w:p>
      <w:pPr>
        <w:pStyle w:val="Heading2"/>
        <w:spacing w:after="160" w:before="360"/>
      </w:pPr>
      <w:r>
        <w:rPr>
          <w:rFonts w:ascii="Arial" w:cs="Arial" w:eastAsia="Arial" w:hAnsi="Arial"/>
          <w:b/>
          <w:bCs/>
          <w:color w:val="1F4E78"/>
          <w:sz w:val="28"/>
          <w:szCs w:val="28"/>
        </w:rPr>
        <w:t>Intersectional Pay Gap Magnitudes</w:t>
      </w:r>
    </w:p>
    <w:p>
      <w:pPr>
        <w:spacing w:after="240" w:before="480"/>
      </w:pPr>
      <w:r>
        <w:rPr>
          <w:rFonts w:ascii="Arial" w:cs="Arial" w:eastAsia="Arial" w:hAnsi="Arial"/>
          <w:b/>
          <w:bCs/>
          <w:color w:val="1F4E78"/>
          <w:sz w:val="36"/>
          <w:szCs w:val="36"/>
        </w:rPr>
        <w:t>Standard pay gap data shows the following uncontrolled wage ratios compared to white non-Hispanic men: white women approximately 79 percent; Black women approximately 64 percent; Hispanic women approximately 57 percent; Native American women approximately 60 percent; Asian women approximately 90 percent (with substantial variation by ethnic subgroup). Black men approximately 73 percent. Hispanic men approximately 70 percent. Native American men approximately 76 percent. These ratios are uncontrolled (do not adjust for occupation, experience, education, hours), which the literature distinguishes from controlled estimates that typically show smaller gaps.</w:t>
      </w:r>
    </w:p>
    <w:p>
      <w:pPr>
        <w:spacing w:after="240" w:before="480"/>
      </w:pPr>
      <w:r>
        <w:rPr>
          <w:rFonts w:ascii="Arial" w:cs="Arial" w:eastAsia="Arial" w:hAnsi="Arial"/>
          <w:b/>
          <w:bCs/>
          <w:color w:val="1F4E78"/>
          <w:sz w:val="36"/>
          <w:szCs w:val="36"/>
        </w:rPr>
        <w:t>Controlled estimates (adjusting for occupation, experience, education, region, hours) typically reduce these gaps but do not eliminate them. The unexplained gap component varies across studies but is typically 5-15 percent for white women, 10-20 percent for Black women, and 8-18 percent for Hispanic women. Disability status compounds these gaps: women with disabilities face an additional approximately 10-25 percent gap compared to women without disabilities. LGBTQ+ workers face their own pay disparities, with transgender workers facing the largest documented gaps (approximately 15-30 percent post-transition compared to workers of their post-transition gender identity, though data quality is limited).  (Source baseline: see Sources_And_Derivation_Convention.docx.)</w:t>
      </w:r>
    </w:p>
    <w:p>
      <w:pPr>
        <w:pStyle w:val="Heading2"/>
        <w:spacing w:after="160" w:before="360"/>
      </w:pPr>
      <w:r>
        <w:rPr>
          <w:rFonts w:ascii="Arial" w:cs="Arial" w:eastAsia="Arial" w:hAnsi="Arial"/>
          <w:b/>
          <w:bCs/>
          <w:color w:val="1F4E78"/>
          <w:sz w:val="28"/>
          <w:szCs w:val="28"/>
        </w:rPr>
        <w:t>How the Platform's Three Mechanisms Interact with Intersectional Sub-Populations</w:t>
      </w:r>
    </w:p>
    <w:p>
      <w:pPr>
        <w:spacing w:after="240" w:before="480"/>
      </w:pPr>
      <w:r>
        <w:rPr>
          <w:rFonts w:ascii="Arial" w:cs="Arial" w:eastAsia="Arial" w:hAnsi="Arial"/>
          <w:b/>
          <w:bCs/>
          <w:color w:val="1F4E78"/>
          <w:sz w:val="36"/>
          <w:szCs w:val="36"/>
        </w:rPr>
        <w:t>Universal childcare addressing the motherhood penalty. The motherhood penalty (the wage decline associated with motherhood compared to women without children) is approximately 4-7 percent per child for white women but approximately 2-5 percent per child for Black women — though Black women face larger absolute pay gaps independent of motherhood. The platform's universal childcare removes a binding constraint that disproportionately affects lower-income mothers (who are disproportionately women of color in the US labor market). The childcare mechanism therefore likely provides larger absolute wage benefits to Black, Hispanic, and Native American mothers than to white mothers, even though the percentage motherhood penalty is smaller for women of color.</w:t>
      </w:r>
    </w:p>
    <w:p>
      <w:pPr>
        <w:spacing w:after="240" w:before="480"/>
      </w:pPr>
      <w:r>
        <w:rPr>
          <w:rFonts w:ascii="Arial" w:cs="Arial" w:eastAsia="Arial" w:hAnsi="Arial"/>
          <w:b/>
          <w:bCs/>
          <w:color w:val="1F4E78"/>
          <w:sz w:val="36"/>
          <w:szCs w:val="36"/>
        </w:rPr>
        <w:t>Empirical wage floors raising pay in female-dominated occupations. Female-dominated occupations include disproportionate representation of women of color (home health aides, domestic workers, food service, certain healthcare support roles). Wage floors at the 25th-percentile level for these occupations would disproportionately benefit Black and Hispanic women. The wage floor mechanism therefore provides intersectional benefit weighted toward women of color, though the specific occupational distribution requires Census data to quantify precisely.</w:t>
      </w:r>
    </w:p>
    <w:p>
      <w:pPr>
        <w:spacing w:after="240" w:before="480"/>
      </w:pPr>
      <w:r>
        <w:rPr>
          <w:rFonts w:ascii="Arial" w:cs="Arial" w:eastAsia="Arial" w:hAnsi="Arial"/>
          <w:b/>
          <w:bCs/>
          <w:color w:val="1F4E78"/>
          <w:sz w:val="36"/>
          <w:szCs w:val="36"/>
        </w:rPr>
        <w:t>Universal healthcare reducing job-lock. Job-lock (staying in a job for healthcare benefits despite better opportunities elsewhere) affects all workers but affects workers with chronic conditions more than healthy workers. Black women have higher prevalence of several chronic conditions (hypertension, diabetes, obesity-related conditions) than white women, partially as a consequence of structural racism in healthcare access and as a consequence of social determinants of health. Universal healthcare therefore likely reduces job-lock disproportionately for Black women and for women with disabilities, providing intersectional benefit through this mechanism.</w:t>
      </w:r>
    </w:p>
    <w:p>
      <w:pPr>
        <w:pStyle w:val="Heading2"/>
        <w:spacing w:after="160" w:before="360"/>
      </w:pPr>
      <w:r>
        <w:rPr>
          <w:rFonts w:ascii="Arial" w:cs="Arial" w:eastAsia="Arial" w:hAnsi="Arial"/>
          <w:b/>
          <w:bCs/>
          <w:color w:val="1F4E78"/>
          <w:sz w:val="28"/>
          <w:szCs w:val="28"/>
        </w:rPr>
        <w:t>What Reasonable Estimation Suggests</w:t>
      </w:r>
    </w:p>
    <w:p>
      <w:pPr>
        <w:spacing w:after="240" w:before="480"/>
      </w:pPr>
      <w:r>
        <w:rPr>
          <w:rFonts w:ascii="Arial" w:cs="Arial" w:eastAsia="Arial" w:hAnsi="Arial"/>
          <w:b/>
          <w:bCs/>
          <w:color w:val="1F4E78"/>
          <w:sz w:val="36"/>
          <w:szCs w:val="36"/>
        </w:rPr>
        <w:t>The platform's three mechanisms collectively likely close pay gaps across all demographic groups, with proportionally larger gap closure for women of color than for white women — but with the absolute remaining gap larger for women of color because their starting position is further below white men's wages. The platform does not eliminate intersectional pay gaps; it reduces them while preserving the underlying differential structure. Full elimination would require additional mechanisms outside the platform's scope: occupational integration policy, hiring discrimination enforcement, and broader anti-discrimination architecture in labor markets.</w:t>
      </w:r>
    </w:p>
    <w:p>
      <w:pPr>
        <w:pStyle w:val="Heading2"/>
        <w:spacing w:after="160" w:before="360"/>
      </w:pPr>
      <w:r>
        <w:rPr>
          <w:rFonts w:ascii="Arial" w:cs="Arial" w:eastAsia="Arial" w:hAnsi="Arial"/>
          <w:b/>
          <w:bCs/>
          <w:color w:val="1F4E78"/>
          <w:sz w:val="28"/>
          <w:szCs w:val="28"/>
        </w:rPr>
        <w:t>What Still Requires Expert Analysis</w:t>
      </w:r>
    </w:p>
    <w:p>
      <w:pPr>
        <w:spacing w:after="240" w:before="480"/>
      </w:pPr>
      <w:r>
        <w:rPr>
          <w:rFonts w:ascii="Arial" w:cs="Arial" w:eastAsia="Arial" w:hAnsi="Arial"/>
          <w:b/>
          <w:bCs/>
          <w:color w:val="1F4E78"/>
          <w:sz w:val="36"/>
          <w:szCs w:val="36"/>
        </w:rPr>
        <w:t>Quantitative estimation of how each platform mechanism affects each intersectional sub-population requires BLS detailed occupational data crossed with demographics, Census labor force participation data crossed with childcare access, CMS (Centers for Medicare and Medicaid Services) chronic condition data crossed with employment data. None of these analyses has been performed at the level of detail RESEARCH-6 specified. The platform's response framework is now documented; full quantitative intersectional analysis requires labor economics and demographic research expertise the platform does not currently include. RESEARCH-6's status is updated to reflect that the platform's framework is documented but full mitigation requires external expert engagement.</w:t>
      </w:r>
    </w:p>
    <w:p>
      <w:pPr>
        <w:pStyle w:val="Heading1"/>
      </w:pPr>
      <w:r>
        <w:t>Failure Modes</w:t>
      </w:r>
    </w:p>
    <w:p>
      <w:pPr>
        <w:pStyle w:val="Heading2"/>
        <w:spacing w:after="160" w:before="360"/>
      </w:pPr>
      <w:r>
        <w:rPr>
          <w:rFonts w:ascii="Arial" w:cs="Arial" w:eastAsia="Arial" w:hAnsi="Arial"/>
          <w:b/>
          <w:bCs/>
          <w:color w:val="1F4E78"/>
          <w:sz w:val="28"/>
          <w:szCs w:val="28"/>
        </w:rPr>
        <w:t>The Pay Gap Silence Failure Mode</w:t>
      </w:r>
    </w:p>
    <w:p>
      <w:pPr>
        <w:spacing w:after="240" w:before="480"/>
      </w:pPr>
      <w:r>
        <w:rPr>
          <w:rFonts w:ascii="Arial" w:cs="Arial" w:eastAsia="Arial" w:hAnsi="Arial"/>
          <w:b/>
          <w:bCs/>
          <w:color w:val="1F4E78"/>
          <w:sz w:val="36"/>
          <w:szCs w:val="36"/>
        </w:rPr>
        <w:t>If the platform continues to lack any explicit acknowledgment of the gender pay gap as a structural problem, advocates for women's economic equality may reasonably conclude the platform does not take pay equity seriously. This failure mode is partially addressed by this document but the document is provisional analytical framing, not a substantive commitment. Future platform versions should consider whether to elevate pay-gap reduction to a stated commitment alongside the other pillars.</w:t>
      </w:r>
    </w:p>
    <w:p>
      <w:pPr>
        <w:pStyle w:val="Heading2"/>
        <w:spacing w:after="160" w:before="360"/>
      </w:pPr>
      <w:r>
        <w:rPr>
          <w:rFonts w:ascii="Arial" w:cs="Arial" w:eastAsia="Arial" w:hAnsi="Arial"/>
          <w:b/>
          <w:bCs/>
          <w:color w:val="1F4E78"/>
          <w:sz w:val="28"/>
          <w:szCs w:val="28"/>
        </w:rPr>
        <w:t>The Indirect-Mechanisms-Are-Sufficient Failure Mode</w:t>
      </w:r>
    </w:p>
    <w:p>
      <w:pPr>
        <w:spacing w:after="240" w:before="480"/>
      </w:pPr>
      <w:r>
        <w:rPr>
          <w:rFonts w:ascii="Arial" w:cs="Arial" w:eastAsia="Arial" w:hAnsi="Arial"/>
          <w:b/>
          <w:bCs/>
          <w:color w:val="1F4E78"/>
          <w:sz w:val="36"/>
          <w:szCs w:val="36"/>
        </w:rPr>
        <w:t>If platform advocates use this document's analysis ('the platform indirectly reduces the pay gap by 30 to 40 percent') as a substitute for engaging with explicit pay-equity instruments, the platform may end up treating the pay gap as effectively solved when in fact substantial residual gap remains. The honest framing is that the platform's indirect mechanisms are substantial but do not eliminate the gap; explicit pay-equity instruments would be required to close the remaining gap, particularly the unexplained portion.  (Source baseline: see Sources_And_Derivation_Convention.docx.)</w:t>
      </w:r>
    </w:p>
    <w:p>
      <w:pPr>
        <w:pStyle w:val="Heading2"/>
        <w:spacing w:after="160" w:before="360"/>
      </w:pPr>
      <w:r>
        <w:rPr>
          <w:rFonts w:ascii="Arial" w:cs="Arial" w:eastAsia="Arial" w:hAnsi="Arial"/>
          <w:b/>
          <w:bCs/>
          <w:color w:val="1F4E78"/>
          <w:sz w:val="28"/>
          <w:szCs w:val="28"/>
        </w:rPr>
        <w:t>The Universal-Childcare-Uptake Failure Mode</w:t>
      </w:r>
    </w:p>
    <w:p>
      <w:pPr>
        <w:spacing w:after="240" w:before="480"/>
      </w:pPr>
      <w:r>
        <w:rPr>
          <w:rFonts w:ascii="Arial" w:cs="Arial" w:eastAsia="Arial" w:hAnsi="Arial"/>
          <w:b/>
          <w:bCs/>
          <w:color w:val="1F4E78"/>
          <w:sz w:val="36"/>
          <w:szCs w:val="36"/>
        </w:rPr>
        <w:t>If actual universal childcare uptake is substantially below the platform's high-uptake assumption (see Behavioral Economics And Uptake Friction), the motherhood penalty reduction will be smaller than estimated. Households that fail to engage with universal childcare receive no benefit from this mechanism. The pay-gap-reduction estimates above should be understood as proportional to actual uptake; at 80 percent uptake the motherhood-penalty mechanism reduces the gap by approximately 7 to 16 percent rather than 9 to 20 percent.</w:t>
      </w:r>
    </w:p>
    <w:p>
      <w:pPr>
        <w:pStyle w:val="Heading1"/>
      </w:pPr>
      <w:r>
        <w:t>Open Questions</w:t>
      </w:r>
    </w:p>
    <w:p>
      <w:pPr>
        <w:spacing w:after="240" w:before="480"/>
      </w:pPr>
      <w:r>
        <w:rPr>
          <w:rFonts w:ascii="Arial" w:cs="Arial" w:eastAsia="Arial" w:hAnsi="Arial"/>
          <w:b/>
          <w:bCs/>
          <w:color w:val="1F4E78"/>
          <w:sz w:val="36"/>
          <w:szCs w:val="36"/>
        </w:rPr>
        <w:t>How precisely does the platform's universal childcare uptake interact with the motherhood penalty? Quebec's experience provides directional evidence but US implementation may differ; empirical work is required.</w:t>
      </w:r>
    </w:p>
    <w:p>
      <w:pPr>
        <w:spacing w:after="240" w:before="480"/>
      </w:pPr>
      <w:r>
        <w:rPr>
          <w:rFonts w:ascii="Arial" w:cs="Arial" w:eastAsia="Arial" w:hAnsi="Arial"/>
          <w:b/>
          <w:bCs/>
          <w:color w:val="1F4E78"/>
          <w:sz w:val="36"/>
          <w:szCs w:val="36"/>
        </w:rPr>
        <w:t>How do the three mechanisms interact? Are their effects on the pay gap additive, synergistic, or partially redundant? The document above assumes approximately additive effects but this assumption requires empirical validation.</w:t>
      </w:r>
    </w:p>
    <w:p>
      <w:pPr>
        <w:spacing w:after="240" w:before="480"/>
      </w:pPr>
      <w:r>
        <w:rPr>
          <w:rFonts w:ascii="Arial" w:cs="Arial" w:eastAsia="Arial" w:hAnsi="Arial"/>
          <w:b/>
          <w:bCs/>
          <w:color w:val="1F4E78"/>
          <w:sz w:val="36"/>
          <w:szCs w:val="36"/>
        </w:rPr>
        <w:t>How should the platform handle the residual unexplained pay gap (5 to 10 percent)? Adding explicit pay-equity instruments (Directions B, C, D above) is one option; a federal paid family leave commitment (Direction A) is another; strengthening Title VII enforcement is a third.</w:t>
      </w:r>
    </w:p>
    <w:p>
      <w:pPr>
        <w:spacing w:after="240" w:before="480"/>
      </w:pPr>
      <w:r>
        <w:rPr>
          <w:rFonts w:ascii="Arial" w:cs="Arial" w:eastAsia="Arial" w:hAnsi="Arial"/>
          <w:b/>
          <w:bCs/>
          <w:color w:val="1F4E78"/>
          <w:sz w:val="36"/>
          <w:szCs w:val="36"/>
        </w:rPr>
        <w:t>What is the appropriate role of state-level pay-equity work under the platform's federal-state cooperation framework? Several states have substantial pay-equity legislation (California, Massachusetts, others) and the platform should articulate how these interact with federal commitments.</w:t>
      </w:r>
    </w:p>
    <w:p>
      <w:pPr>
        <w:spacing w:after="240" w:before="480"/>
      </w:pPr>
      <w:r>
        <w:rPr>
          <w:rFonts w:ascii="Arial" w:cs="Arial" w:eastAsia="Arial" w:hAnsi="Arial"/>
          <w:b/>
          <w:bCs/>
          <w:color w:val="1F4E78"/>
          <w:sz w:val="36"/>
          <w:szCs w:val="36"/>
        </w:rPr>
        <w:t>How does the platform's wage floor architecture handle occupations that change gender composition over time? If a previously male-dominated occupation becomes more gender-balanced (or vice versa), the wage floor calculation would be unaffected (the floor is based on actual wages, not gender), but the pay-gap effect of the wage floor would change. This is a feature, not a bug, but warrants explicit acknowledgment.</w:t>
      </w:r>
    </w:p>
    <w:p>
      <w:pPr>
        <w:spacing w:after="240" w:before="480"/>
      </w:pPr>
      <w:r>
        <w:rPr>
          <w:rFonts w:ascii="Arial" w:cs="Arial" w:eastAsia="Arial" w:hAnsi="Arial"/>
          <w:b/>
          <w:bCs/>
          <w:color w:val="1F4E78"/>
          <w:sz w:val="36"/>
          <w:szCs w:val="36"/>
        </w:rPr>
        <w:t>How should the platform engage with intersectional pay gaps? The gap is larger for Black, Hispanic, and Native American women than for white women; women with disabilities face additional gaps; LGBTQ+ workers face their own pay disparities. The platform's universal architecture is by definition non-targeted, but pay-gap-reduction work specifically often requires intersectional analysis.</w:t>
      </w:r>
    </w:p>
    <w:p>
      <w:pPr>
        <w:spacing w:after="240" w:before="480"/>
      </w:pPr>
      <w:r>
        <w:rPr>
          <w:rFonts w:ascii="Arial" w:cs="Arial" w:eastAsia="Arial" w:hAnsi="Arial"/>
          <w:b/>
          <w:bCs/>
          <w:color w:val="1F4E78"/>
          <w:sz w:val="36"/>
          <w:szCs w:val="36"/>
        </w:rPr>
        <w:t>What are the appropriate metrics for tracking platform effectiveness on the pay gap? The raw gap, unexplained gap, motherhood penalty specifically, occupational segregation, and vertical segregation are all relevant. A future platform version should specify which metrics constitute success criteria.</w:t>
      </w:r>
    </w:p>
    <w:p>
      <w:pPr>
        <w:pStyle w:val="Heading1"/>
      </w:pPr>
      <w:r>
        <w:t>Closing</w:t>
      </w:r>
    </w:p>
    <w:p>
      <w:pPr>
        <w:spacing w:after="240" w:before="480"/>
      </w:pPr>
      <w:r>
        <w:rPr>
          <w:rFonts w:ascii="Arial" w:cs="Arial" w:eastAsia="Arial" w:hAnsi="Arial"/>
          <w:b/>
          <w:bCs/>
          <w:color w:val="1F4E78"/>
          <w:sz w:val="36"/>
          <w:szCs w:val="36"/>
        </w:rPr>
        <w:t>The platform's architecture would reduce the gender pay gap meaningfully — an estimated 30 to 40 percent reduction in the raw gap — through three indirect mechanisms (universal childcare, empirical wage floors, universal healthcare). This is a substantial effect for a set of architecture choices not designed primarily for pay-gap reduction. The platform does not include the targeted pay-equity instruments that pay-gap-focused policy proposals typically include (paid family leave, pay transparency, salary history bans, strengthened Equal Pay Act enforcement, comparable-worth frameworks, anti-segregation interventions).  (Source baseline: see Sources_And_Derivation_Convention.docx.)</w:t>
      </w:r>
    </w:p>
    <w:p>
      <w:pPr>
        <w:spacing w:after="240" w:before="480"/>
      </w:pPr>
      <w:r>
        <w:rPr>
          <w:rFonts w:ascii="Arial" w:cs="Arial" w:eastAsia="Arial" w:hAnsi="Arial"/>
          <w:b/>
          <w:bCs/>
          <w:color w:val="1F4E78"/>
          <w:sz w:val="36"/>
          <w:szCs w:val="36"/>
        </w:rPr>
        <w:t>This document is offered in the spirit of the v2.14 through v2.21 phased-expansion documents: making implicit platform effects explicit, identifying gaps the platform does not currently address, and outlining design directions future platform versions could take. Whether the platform should elevate pay-gap reduction to a stated commitment with targeted instruments, or remain content with indirect mechanisms as analyzed here, is a strategic question that warrants explicit attention in subsequent platform versions.</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