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Reader's Path Through Resolved Open Issues</w:t>
      </w:r>
    </w:p>
    <w:p>
      <w:r>
        <w:rPr>
          <w:i/>
        </w:rPr>
        <w:t>A Synthesis for External Reviewers Evaluating Platform Discipline</w:t>
      </w:r>
    </w:p>
    <w:p>
      <w:r>
        <w:t>v1.2  ·  Created May 6, 2026 for v3.1.0 (initial synthesis written per Reader's Path Scoping Specification v1.2; addresses deferred work item from v2.30.41).  ·  Author: Jason Robertson, Ohio  ·  Format: Structured narrative synthesis  ·  Length: Approximately 5,500 words  ·  Recommended reading time: 25 to 30 minutes.  ·  Updated May 6, 2026 for v3.1.1 (revised statistics and framework references to reflect the OPEN-or-CLOSED criterion adopted in v3.1.1)  ·  Updated May 6, 2026 for v3.1.2 (statistics revised to reflect refined Item Status / Mitigated criterion: 33 Y / 0 N with 25 CLOSED / 8 OPEN Item Status)</w:t>
      </w:r>
    </w:p>
    <w:p>
      <w:pPr>
        <w:pStyle w:val="Heading1"/>
      </w:pPr>
      <w:r>
        <w:t>A. Introduction</w:t>
      </w:r>
    </w:p>
    <w:p>
      <w:r>
        <w:t>This document is for external reviewers — funders, policy professionals, institutional partners, technical experts — evaluating whether the We The People Platform applies disciplined process to its analytical work before they recommend it for institutional engagement. It is not a marketing document. It does not claim the platform has solved every analytical question it has raised. What it claims, and tries to substantiate, is that the platform has surfaced its loose ends rather than hidden them, has applied disciplined process to addressing each one, and is honest about the distinction between issues it can resolve internally and issues that genuinely require external engagement to fully close.</w:t>
      </w:r>
    </w:p>
    <w:p>
      <w:r>
        <w:t>The reader who finishes this document should be able to answer three questions: What kinds of issues did the platform identify in its own work? What did it do about each one? What remains genuinely open, and what would resolution look like? The first two questions admit fairly definitive answers; the third requires acknowledging that some issues are not the platform's to fully resolve.</w:t>
      </w:r>
    </w:p>
    <w:p>
      <w:r>
        <w:t>The synthesis covers thirty-three issues that have been canonically tracked in the platform's Open Issues Registry. The selection criterion is simple: any loose end consequential enough to warrant tracking in a registry rather than fixing silently is a candidate for external scrutiny. Some are matters of internal consistency that the platform could and did fix once identified. Some are genuine analytical questions where the platform made considered decisions that external reviewers may agree or disagree with. Some are questions the platform documented as out of scope. And some are questions where honest resolution requires expertise the platform does not internally have.</w:t>
      </w:r>
    </w:p>
    <w:p>
      <w:r>
        <w:t>Section B explains the two-column semantic framework used for tracking. Sections C and D walk through the issues, distinguishing those resolved within platform responsibility from those requiring external engagement. Section E describes recurring patterns in how the platform approached resolution. Section F is a deliberately uncomfortable section about the platform's honest acknowledgments. Section G points readers to where they can dig deeper if they want to verify any of this directly.</w:t>
      </w:r>
    </w:p>
    <w:p>
      <w:r>
        <w:t>What distinguishes this synthesis from a typical project status report is the willingness to be specific about what was not resolved internally and what would be required to close it. Most planning documents present open items as work-in-progress; this synthesis treats some open items as structurally outside the platform's internal capacity to close. That is a different kind of acknowledgment, and it is the kind that makes external engagement productive rather than ceremonial.</w:t>
      </w:r>
    </w:p>
    <w:p>
      <w:pPr>
        <w:pStyle w:val="Heading1"/>
      </w:pPr>
      <w:r>
        <w:t>B. The Two-Column Semantic Framework</w:t>
      </w:r>
    </w:p>
    <w:p>
      <w:r>
        <w:t>Early in the platform's tracking discipline, a problem emerged: an issue could be “addressed” in two distinct senses, and conflating them produced misleading status claims. An issue could be addressed in the sense that the platform had documented its position, made a decision, mitigated internal inconsistencies, or acknowledged the issue as out of scope. An issue could also be addressed in the sense that its underlying analytical or empirical question was resolved — with confidence, with sourcing, with the kind of grounding that would survive serious external scrutiny. The first sense reflects the platform's documentation responsibility. The second reflects the underlying state of the world.</w:t>
      </w:r>
    </w:p>
    <w:p>
      <w:r>
        <w:t>Conflating these produces two kinds of dishonesty. Treating documentation as resolution makes the platform look more confident than it is. Treating incomplete underlying resolution as undocumented makes the platform look less disciplined than it is. The two-column framework, codified across the v2.30 series, separates them.</w:t>
      </w:r>
    </w:p>
    <w:p>
      <w:r>
        <w:t>The Mitigated column tracks documentation responsibility: has the platform done what it can do internally to address the issue? This includes making decisions, applying consistency fixes, acknowledging out-of-scope questions, and documenting the reasoning. The Issue Status column tracks the underlying state: is the underlying question genuinely resolved, or does it still require external work? The Mitigated column is binary (Y or N). The Issue Status column is descriptive and may indicate that the platform's internal work is complete while external engagement remains necessary for full closure.</w:t>
      </w:r>
    </w:p>
    <w:p>
      <w:r>
        <w:t>Of the thirty-three tracked issues, all thirty-three are Mitigated equals Y under the v3.1.2 criterion: either the item is CLOSED (content complete in the platform) or the item is OPEN with documented acknowledgment of the external help required to close it (author has done what is within their capacity). The Item Status distribution is twenty-five CLOSED and eight OPEN. The eight OPEN items are concentrated in the research category (six items requiring external research expertise to close), the process category (one item requiring independent model audit), and the stakeholder category (one item requiring tribal consultation to close). The platform's discipline distinguishes content completeness (Item Status) from author responsibility (Mitigated): both columns are visible so that external reviewers can see what is complete versus what requires external resources to complete, separately from whether the author has done their part.</w:t>
      </w:r>
    </w:p>
    <w:p>
      <w:pPr>
        <w:pStyle w:val="Heading1"/>
      </w:pPr>
      <w:r>
        <w:t>C. Issues Resolved Within Platform Responsibility</w:t>
      </w:r>
    </w:p>
    <w:p>
      <w:r>
        <w:t>This section covers the issues whose Issue Status indicates the platform's internal work is sufficient. They fall into several natural groups: internal consistency fixes, canonical decisions on contested architecture, acknowledged out-of-scope topics, process-discipline improvements, and documented strategic reasoning.</w:t>
      </w:r>
    </w:p>
    <w:p>
      <w:r>
        <w:t>What follows is not a recitation of fixes; it is an account of how the platform handled each kind of issue, with enough specificity that an external reviewer can decide whether the handling was responsible. Issues are grouped by kind rather than presented in registry order, because the kind of issue determines the kind of resolution that is appropriate. A consistency fix is not the same kind of work as a canonical decision; an out-of-scope acknowledgment is not the same kind of work as a strategic-reasoning documentation. The grouping makes those distinctions visible.</w:t>
      </w:r>
    </w:p>
    <w:p>
      <w:r>
        <w:t>Internal consistency fixes (CON-2, CON-3, CON-9). Three issues involved documents that contradicted each other in places where they should have agreed: the Manifesto cover tagline mentioning a different number of pillars than the rest of the document, the healthcare per-capita target showing a different timeline in different documents, and a TOC entry describing payroll funding rates in language that diverged from the actual content. These were resolved by reading across documents, identifying the canonical version, and updating the inconsistent ones to match. The fixes are documented in OIR Section 1, with both the original inconsistency and the chosen resolution preserved for traceability. None of these required an analytical decision — just attentive proofreading and the discipline to actually apply the fix when found.</w:t>
      </w:r>
    </w:p>
    <w:p>
      <w:r>
        <w:t>Canonical decision on universal healthcare contribution rate (OPEN-1). Earlier drafts of the platform's healthcare architecture used four different values for the contribution rate across different documents. This was not a small inconsistency; the rate is one of the platform's central economic claims. v2.26.3 made the canonical decision: a 6 percent total payroll contribution split between employer and employee. The decision is documented in OIR Section 10 with the reasoning behind the split and the specific values chosen. Whether external reviewers agree with the rate is a separate question; the issue here is that the platform now has a single, canonical answer that all documents reflect.</w:t>
      </w:r>
    </w:p>
    <w:p>
      <w:r>
        <w:t>Canonical decision on wealth surcharge architecture (OPEN-2). Three different versions of the high-earner contribution architecture appeared in different documents during early drafts. v2.26.3 resolved the question by adopting a three-mechanism architecture (specified in OIR Sections 10 and 13) that all subsequent documents reflect. The decision involved trade-offs that reasonable reviewers may evaluate differently; what was resolved internally is the consistency question, not the substantive policy question.</w:t>
      </w:r>
    </w:p>
    <w:p>
      <w:r>
        <w:t>FFIA modified income tax architecture (OPEN-3). The Federal Fiscal Impact Analysis treats certain components of the platform's revenue architecture as zero net new revenue rather than as new tax. This was a considered design choice (documented across OIR Sections 21 and 22) about how to characterize the architecture for fiscal analysis purposes. The choice is defensible and the reasoning is preserved; reviewers may scrutinize the characterization, but the platform has documented its position rather than left it implicit.</w:t>
      </w:r>
    </w:p>
    <w:p>
      <w:r>
        <w:t>Adjacent pillars framing (OPEN-4). Earlier drafts described the platform as having three primary pillars; later analytical work expanded this. The Adjacent Pillars Under Development document was reconciled with the broader pillar structure in v2.26.2 (OIR Section 9), and the Manifesto cover and TOC structure were updated to match. The framing question is now consistent across documents.</w:t>
      </w:r>
    </w:p>
    <w:p>
      <w:r>
        <w:t>Calculator business-side modeling (PROC-2). The interactive calculator originally modeled household-side impacts only; the business-side modeling was added in v2.27 (OIR Section 11). This was a substantive feature addition rather than a fix per se, but it closed a gap that earlier reviewers had flagged as missing.</w:t>
      </w:r>
    </w:p>
    <w:p>
      <w:r>
        <w:t>The pattern that emerges across these consistency fixes and canonical decisions is that the platform's primary tool for resolution is attentive reading across documents combined with the discipline to make a definitive call when versions diverge. This is not glamorous work, but it is the kind of work that determines whether external reviewers find the platform's documents trustworthy at the level of basic internal consistency. The tracked issues in this group establish that the platform takes that level of consistency seriously.</w:t>
      </w:r>
    </w:p>
    <w:p>
      <w:r>
        <w:t>Climate omission strategic reasoning (RESEARCH-7). The platform deliberately does not include comprehensive climate policy. v2.30.28 (OIR Section 51) documents the strategic reasoning for the omission: the platform focuses on economic architecture where it has analytical traction, and treats comprehensive climate policy as adjacent rather than core. Whether reviewers agree with the strategic choice is open; what was resolved internally is the documentation of the reasoning rather than leaving the omission unexplained.</w:t>
      </w:r>
    </w:p>
    <w:p>
      <w:r>
        <w:t>Out-of-scope acknowledgments (SCOPE-1 through SCOPE-5). Five topics are explicitly acknowledged as out of scope: long-term care, hearing aids and audiology, comprehensive climate policy, housing supply policy, and immigration policy. OIR Section 4 documents each acknowledgment with reasoning. The platform's position is not that these topics are unimportant, but that taking analytical responsibility for them would exceed what the lead author can carry to a defensible level of rigor without specialist expertise. External reviewers who care about any of these topics should treat the omission as a known limitation rather than a tacit dismissal.</w:t>
      </w:r>
    </w:p>
    <w:p>
      <w:r>
        <w:t>Process discipline improvements (PROC-IMP-1 through PROC-IMP-5). Five issues involved the platform's own infrastructure rather than its analytical content: slideshow content sync (closed v2.30.5), audit-script whitelist policy (implemented v2.30.12 and migrated to exact-text format), harden cycle process codification (codified v2.30.19 in Item 80 v1.5), audit-script improvement candidates (three sub-items, all closed v2.30.22), and the audit-script executable bit (marked v2.30.23). Each was a self-improvement of the platform's discipline rather than a change to its analytical claims. The fact that these were tracked alongside analytical issues reflects the platform's view that process discipline is itself auditable and worth documenting.</w:t>
      </w:r>
    </w:p>
    <w:p>
      <w:r>
        <w:t>Item 79 stakeholder questions (ITEM79-Q1, Q2, Q3). The platform's Telecommunications Pillar contains specific questions interlocutors are likely to ask: how competitive carrier transition would work, how private investment incentives are preserved during transition, and how tribal nation lands are handled. Each was documented in v2.30.30 (OIR Section 53) with the platform's current handling. The handling is a position rather than a settled answer; reviewers and stakeholders may have refinements, but the platform has made its position visible rather than hoping interlocutors will not ask.</w:t>
      </w:r>
    </w:p>
    <w:p>
      <w:r>
        <w:t>Across the resolved items, an external reviewer can verify what was actually changed by looking at the OIR sections cited for each issue and at the document version histories. The platform's discipline is specifically designed to make this verification tractable: each iteration documents what was found, what was changed, and where the change appears. A reviewer who wants to spot-check the resolution of any specific item can do so without needing the platform's lead author to walk them through it.</w:t>
      </w:r>
    </w:p>
    <w:p>
      <w:pPr>
        <w:pStyle w:val="Heading1"/>
      </w:pPr>
      <w:r>
        <w:t>D. Issues Requiring External Engagement</w:t>
      </w:r>
    </w:p>
    <w:p>
      <w:r>
        <w:t>This section covers issues whose Item Status is OPEN under the v3.1.2 criterion: at least one exploration or analysis task remains unfinished in the platform. Each item's Mitigated column is Y under the v3.1.2 criterion because the platform documents what external help is required to close the item, even though the underlying analytical or empirical work has not yet been completed. Pretending the underlying work is done would be the kind of overreach the criterion is designed to prevent; tracking the items as OPEN with documented external-help requirements is the platform's honest alternative.</w:t>
      </w:r>
    </w:p>
    <w:p>
      <w:r>
        <w:t>Federal Reserve and monetary policy interaction (RESEARCH-1). The platform proposes substantial changes to fiscal architecture but does not provide a worked-out model of how these would interact with monetary policy. v2.30.29 (OIR Section 52) documents this as a research item rather than a closed analytical question. Resolution would require macroeconomic modeling beyond what the lead author can carry; partnerships with academic monetary economists or central-bank-experienced researchers would be the natural next step.</w:t>
      </w:r>
    </w:p>
    <w:p>
      <w:r>
        <w:t>Housing market interaction (RESEARCH-2). The platform's Wage Floor and Sovereign Fund proposals would change household income distributions in ways that affect housing demand. The platform does not currently model this interaction. Resolution requires housing economics expertise and data on local supply elasticities. Documented in OIR Section 52.</w:t>
      </w:r>
    </w:p>
    <w:p>
      <w:r>
        <w:t>Wage floor disemployment quantitative estimate (RESEARCH-3). Whether and how much a national wage floor would reduce employment is a contested empirical question with substantial economic literature. The platform's current treatment notes the question and documents its qualitative position but does not provide a quantitative estimate that survives rigorous econometric scrutiny. Resolution requires specialist labor economics expertise. Documented in OIR Section 52.</w:t>
      </w:r>
    </w:p>
    <w:p>
      <w:r>
        <w:t>Healthcare cost reduction decomposition (RESEARCH-4). The platform's healthcare architecture targets a substantial reduction in per-capita spending. Decomposing the projected reduction into specific cost categories (administrative, pharmaceutical, provider compensation, utilization) requires healthcare economics expertise the lead author does not have. Documented in OIR Section 52 as a known gap requiring external research engagement.</w:t>
      </w:r>
    </w:p>
    <w:p>
      <w:r>
        <w:t>Sovereign Fund 4 percent real return scenario (RESEARCH-5). The Sovereign Fund's projections rest on assumed real return rates. The platform's base case uses 6 percent; a more conservative 4 percent scenario was identified as a sensitivity that should be documented. The work was started but not fully developed; full resolution requires investment-management expertise to assess whether the conservative scenario is realistic and how it would change downstream conclusions. Documented in OIR Section 52.</w:t>
      </w:r>
    </w:p>
    <w:p>
      <w:r>
        <w:t>Intersectional pay gap analysis (RESEARCH-6). The platform's wage and income claims would benefit from intersectional analysis (race, gender, geography) that the lead author has not produced. Resolution requires specialist labor economics expertise with intersectional data tools. Documented in OIR Section 52.</w:t>
      </w:r>
    </w:p>
    <w:p>
      <w:r>
        <w:t>What unifies the six research items is that each represents a question where a confident answer would require either substantial primary research or substantial econometric modeling that the platform has not done. The platform's options were three: claim resolution it has not earned; pretend the questions do not exist; or document the questions, acknowledge the gap, and identify the kind of expertise that would close it. The third option is the one the platform took. It does not eliminate the gap; it makes the gap visible and structured for engagement.</w:t>
      </w:r>
    </w:p>
    <w:p>
      <w:r>
        <w:t>Lead author credentialing (PROCESS-1). The platform's lead author is not a credentialed economist or policy professional. v2.30.31 (Section 54) documents this honestly, including the implications: the platform's analytical work has been carried as far as serious autodidactic effort can take it, but specialist review remains genuinely necessary before the platform's claims should be treated as authoritative. Resolution is not a matter of further internal work; it requires actual specialist engagement.</w:t>
      </w:r>
    </w:p>
    <w:p>
      <w:r>
        <w:t>External Reviews currently AI-only (PROCESS-2). The External Reviews folder contains substantive reviews — but they are AI-generated. v2.30.31 documents this transparently: AI reviews are useful for structural and consistency checks, but they are not a substitute for human expert review. Resolution requires human expert reviews from people with relevant credentials. The platform's audit infrastructure is designed to make human review tractable when it happens, but the human review itself is what is genuinely missing.</w:t>
      </w:r>
    </w:p>
    <w:p>
      <w:r>
        <w:t>The transparency about AI-only review is itself worth examining. The platform could have presented the AI reviews without disclaimer; many policy documents do present AI-assisted analysis without naming it as such. The platform's choice to flag the limitation explicitly reflects a judgment about what reviewers need to know. External reviewers evaluating the platform should treat the transparency as evidence of the platform's view of how reviews should work, while still treating the substantive limitation seriously.</w:t>
      </w:r>
    </w:p>
    <w:p>
      <w:r>
        <w:t>Mathematical models not independently audited (PROCESS-3). The platform's fiscal projections rest on mathematical models the lead author built. These have been internally audited (cross-checked, reviewed for arithmetic consistency) but not independently audited by an external party with actuarial or fiscal-modeling credentials. Documented in OIR Section 54. Resolution requires actual external audit.</w:t>
      </w:r>
    </w:p>
    <w:p>
      <w:r>
        <w:t>The three process items collectively describe a single structural limitation: the platform was built by one person, by intent, to demonstrate that a coherent multi-pillar policy architecture could be produced this way; but the resulting work needs review by people with expertise the lead author does not have. This is not a defect to be corrected by more work from the same source. It is the binding constraint that determines what kind of external engagement is required. Reviewers who interpret the platform's discipline as a substitute for specialist review are misreading the platform's own claims; the discipline is a precondition for productive specialist review, not a replacement for it.</w:t>
      </w:r>
    </w:p>
    <w:p>
      <w:r>
        <w:t>Across these eight items, the common pattern is the same: the platform has documented what it knows, identified what it does not know, and named the kind of expertise required to close the gap. This is a different kind of claim than “we have analyzed this and concluded X”; it is the claim that the platform knows where its analytical edges are, and is willing to make those edges visible to reviewers. Whether reviewers find this honest acknowledgment sufficient depends on what kind of engagement they are evaluating; the platform's view is that engagement that begins with shared visibility into the gaps is more likely to succeed than engagement that begins with the gaps obscured.</w:t>
      </w:r>
    </w:p>
    <w:p>
      <w:pPr>
        <w:pStyle w:val="Heading1"/>
      </w:pPr>
      <w:r>
        <w:t>E. Common Patterns in the Platform's Resolution Approach</w:t>
      </w:r>
    </w:p>
    <w:p>
      <w:r>
        <w:t>Several patterns recur across how the platform approached its open issues. They are worth naming explicitly because they reflect the platform's operating discipline rather than ad-hoc choices.</w:t>
      </w:r>
    </w:p>
    <w:p>
      <w:r>
        <w:t>First, the platform tracked rather than hid. Issues identified during drafting were added to the Open Issues Registry rather than fixed silently or omitted from documentation. This creates a paper trail that external reviewers can audit; it also creates the obligation to actually address what is tracked rather than letting issues accumulate. The thirty-one tracked issues represent a deliberate choice to make the platform's analytical state legible.</w:t>
      </w:r>
    </w:p>
    <w:p>
      <w:r>
        <w:t>Second, the platform distinguished documentation from resolution. The two-column framework in Section B is the formal version of this discipline. It prevents the kind of slippage where “we documented this” gets treated as “we solved this,” and where “we have not solved this” gets treated as “we have not documented this either.” Both kinds of slippage corrode reviewer trust; the framework prevents both.</w:t>
      </w:r>
    </w:p>
    <w:p>
      <w:r>
        <w:t>Third, the platform applied iterative discipline. Each issue was addressed through a four-phase cycle (audit, mitigate, verify, document) rather than a single ad-hoc fix. The cycle produces an audit trail of what was found, what was changed, what verification confirmed, and where the change was documented. The cycle has been formalized in the platform's audit infrastructure and runs automatically on every audit invocation, preventing the kind of regression where a fix slips back during later iterations.</w:t>
      </w:r>
    </w:p>
    <w:p>
      <w:r>
        <w:t>Fourth, the platform treated its own discipline as auditable. Issues involving the audit infrastructure itself (PROC-IMP series) were tracked alongside analytical issues, not in a separate “operations” category. This reflects the view that process discipline is part of what external reviewers should be able to evaluate, not a black box that produces the analytical content. The audit-script source is included in the package; the harden cycle documentation describes the discipline in detail; reviewers can verify the discipline by running it themselves.</w:t>
      </w:r>
    </w:p>
    <w:p>
      <w:r>
        <w:t>Fifth, the platform preserved historical narrative rather than rewriting it. The OIR's iteration-by-iteration sections document what was found, decided, and changed at each iteration in the language of that iteration. Later iterations did not go back and rewrite earlier narrative to match later understandings; they let the historical record stand and added new sections describing how thinking evolved. This makes the platform's analytical history readable in a way that after-the-fact rewriting would obscure. Reviewers who care about how specific decisions were arrived at can read the contemporaneous documentation rather than reconstruction.</w:t>
      </w:r>
    </w:p>
    <w:p>
      <w:r>
        <w:t>Sixth, the platform tested its own discipline by trying to break it. Several iterations during the v2.30 series introduced new audit angles specifically to surface findings the existing angles would miss. The expanded-scope audit pattern that became part of the audit infrastructure originated as exactly this kind of stress test: what would a full-document scan find that the routine scan does not? The willingness to extend the audit infrastructure when stress tests found gaps is a positive signal; the willingness to document what the stress tests found, including in cases where the findings showed earlier work was incomplete, is the same signal at the narrative level.</w:t>
      </w:r>
    </w:p>
    <w:p>
      <w:pPr>
        <w:pStyle w:val="Heading1"/>
      </w:pPr>
      <w:r>
        <w:t>F. Honest Acknowledgments</w:t>
      </w:r>
    </w:p>
    <w:p>
      <w:r>
        <w:t>This section names limitations the platform's discipline does not eliminate. External reviewers should weigh them when evaluating whether to recommend engagement.</w:t>
      </w:r>
    </w:p>
    <w:p>
      <w:r>
        <w:t>The lead author is not a credentialed economist or policy professional. Serious autodidactic effort has carried the analytical work to a level where specialist review is now the binding constraint, not where the absence of credentials becomes invisible. Reviewers evaluating the platform's analytical claims should treat them as work in good faith by an unusually committed non-specialist, not as work by a credentialed specialist.</w:t>
      </w:r>
    </w:p>
    <w:p>
      <w:r>
        <w:t>The audit infrastructure is auditable but the audits are not infallible. Several iterations during the v2.30 series surfaced findings that earlier iterations had missed, including in cases where the same iteration's documentation claimed completeness. The platform's response was to extend the audit infrastructure to catch the missed cases and document the lessons, but reviewers should expect that further iterations will surface further findings. The auditor's claim is not that no findings remain but that the discipline for finding them is the kind that improves rather than degrades.</w:t>
      </w:r>
    </w:p>
    <w:p>
      <w:r>
        <w:t>The thirty-three tracked issues are not necessarily exhaustive. The platform's discipline tracks issues identified by current audit angles. Audit angles not yet tried may surface issues not yet known. The platform's response to this is to invite the angles — the supplementary audit angles documented in the harden cycle process are exactly the mechanism for this — but reviewers should not interpret the registry as a guarantee of completeness.</w:t>
      </w:r>
    </w:p>
    <w:p>
      <w:r>
        <w:t>Some issues do not have clean resolution paths. The macroeconomic interaction questions (Federal Reserve, housing market) and the intersectional analysis question would each take years of specialist work to fully close. The platform's view is that engagement should not be conditional on these being closed, but that engagement should be conducted with awareness that they are not. This is itself a position that reviewers may evaluate.</w:t>
      </w:r>
    </w:p>
    <w:p>
      <w:r>
        <w:t>The platform represents a particular kind of bet: that disciplined non-specialist work, made externally legible through aggressive transparency about its own state, can produce material useful enough for specialist engagement to refine into something authoritative. Whether that bet pays off depends partly on whether the discipline is genuine and partly on whether external reviewers find the resulting material worth engaging with. The synthesis is the platform's argument that the discipline is genuine; the engagement itself is what would test whether the material is worth refining.</w:t>
      </w:r>
    </w:p>
    <w:p>
      <w:pPr>
        <w:pStyle w:val="Heading1"/>
      </w:pPr>
      <w:r>
        <w:t>G. For Readers Who Want More</w:t>
      </w:r>
    </w:p>
    <w:p>
      <w:r>
        <w:t>This synthesis is necessarily compressed. Readers who want to verify specific claims or dig into specific issues should consult the source documents directly. The Open Issues Registry (05_Open_Issues_Registry.docx in the Analytical Framing folder) contains the canonical issue table in Section 47 plus iteration-by-iteration narrative for every audit cycle. The Iterative Hardening Process Documentation (also in Analytical Framing) describes the four-phase cycle and the audit infrastructure in detail. The Federal Fiscal Impact Analysis covers the platform's headline financial figures with the sourcing context added during the v2.30 series. The audit-script source code is at the package root; running it requires only Python 3 and the python-docx library.</w:t>
      </w:r>
    </w:p>
    <w:p>
      <w:r>
        <w:t>External reviewers considering engagement should reach out to the platform's lead author directly. The platform's purpose is to be engaged with, scrutinized, and improved through external work; the synthesis exists to make that engagement tractable, not to substitute for it.</w:t>
      </w:r>
    </w:p>
    <w:p>
      <w:r>
        <w:t>The synthesis itself will be updated when the Section 47 issue table changes substantively or when the platform's discipline state changes in ways that affect what this document claims. It is a current-state snapshot rather than a maintained living reference, and reviewers comparing the synthesis against the OIR at any point in time should treat the OIR as the primary source if they conflict.</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