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480"/>
      </w:pPr>
      <w:r>
        <w:rPr>
          <w:rFonts w:ascii="Arial" w:cs="Arial" w:eastAsia="Arial" w:hAnsi="Arial"/>
          <w:b/>
          <w:bCs/>
          <w:color w:val="1F4E78"/>
          <w:sz w:val="36"/>
          <w:szCs w:val="36"/>
        </w:rPr>
        <w:t>OPEN ISSUES REGISTRY</w:t>
      </w:r>
    </w:p>
    <w:p>
      <w:pPr>
        <w:spacing w:after="240" w:before="480"/>
      </w:pPr>
      <w:r>
        <w:rPr>
          <w:rFonts w:ascii="Arial" w:cs="Arial" w:eastAsia="Arial" w:hAnsi="Arial"/>
          <w:b/>
          <w:bCs/>
          <w:color w:val="1F4E78"/>
          <w:sz w:val="36"/>
          <w:szCs w:val="36"/>
        </w:rPr>
        <w:t>Aware, Mitigated, or Needing Research</w:t>
      </w:r>
    </w:p>
    <w:p>
      <w:pPr>
        <w:spacing w:after="240" w:before="480"/>
      </w:pPr>
      <w:r>
        <w:rPr>
          <w:rFonts w:ascii="Arial" w:cs="Arial" w:eastAsia="Arial" w:hAnsi="Arial"/>
          <w:b/>
          <w:bCs/>
          <w:color w:val="1F4E78"/>
          <w:sz w:val="36"/>
          <w:szCs w:val="36"/>
        </w:rPr>
        <w:t>A Consolidated Acknowledgments Document</w:t>
      </w:r>
    </w:p>
    <w:p>
      <w:pPr>
        <w:spacing w:after="240" w:before="480"/>
      </w:pPr>
      <w:r>
        <w:rPr>
          <w:rFonts w:ascii="Arial" w:cs="Arial" w:eastAsia="Arial" w:hAnsi="Arial"/>
          <w:b/>
          <w:bCs/>
          <w:color w:val="1F4E78"/>
          <w:sz w:val="36"/>
          <w:szCs w:val="36"/>
        </w:rPr>
        <w:t>Jason Robertson</w:t>
      </w:r>
    </w:p>
    <w:p>
      <w:pPr>
        <w:spacing w:after="240" w:before="480"/>
      </w:pPr>
      <w:r>
        <w:rPr>
          <w:rFonts w:ascii="Arial" w:cs="Arial" w:eastAsia="Arial" w:hAnsi="Arial"/>
          <w:b/>
          <w:bCs/>
          <w:color w:val="1F4E78"/>
          <w:sz w:val="36"/>
          <w:szCs w:val="36"/>
        </w:rPr>
        <w:t>v1.134  ·  Created May 6, 2026 for v2.24 (consolidation pass)  ·  Updated May 6, 2026 for v2.25 (v2.25 expansion entry added to Section 1)  ·  Updated May 6, 2026 for v2.25 (Section 6 added: cross-references to item 77)  ·  Updated May 6, 2026 for v2.26 (Section 7 added: cross-references to item 78)  ·  Updated May 6, 2026 for v2.26.1 (Section 8 added: items 51 and 61 brought to coherence with v2.26)  ·  Updated May 6, 2026 for v2.26.2 (Section 9 added: audit-driven mitigation cycle)  ·  Updated May 6, 2026 for v2.26.3 (Section 10 added: canonical decisions on OPEN-1 and OPEN-2)  ·  Updated May 6, 2026 for v2.27 (Section 11 added: Calculator refactor; OPEN-2 secondary work and PROC-2 resolved)  ·  Updated May 6, 2026 for v2.27.1 (Section 12 added: iteration 3 hardening pass)  ·  Updated May 6, 2026 for v2.27.2 (Section 13 added: iteration 4 hardening pass)  ·  Updated May 6, 2026 for v2.27.3 (Section 14: iteration 5 caught stale Calculator content from prior iterations)  ·  Updated May 6, 2026 for v2.27.4 (Section 15: iteration 6 hardening pass)  ·  Updated May 6, 2026 for v2.27.5 (Section 16: iteration 7 hardening pass)  ·  Updated May 6, 2026 for v2.27.6 (Section 17: iteration 8 hardening pass)  ·  Updated May 6, 2026 for v2.28 (Section 18: v2.28 item 79 addition)  ·  Updated May 6, 2026 for v2.28.1 (iteration 10: Section 18 forward references rephrased)  ·  Updated May 6, 2026 for v2.28.2 (Section 19: iteration 11 hardening pass)  ·  Updated May 6, 2026 for v2.28.3 (Section 20: WTMFY refactor closes OPEN-1 secondary work)  ·  Updated May 6, 2026 for v2.29 (Section 21: items 80 and 81 added)  ·  Updated May 6, 2026 for v2.30 (Section 22: OPEN-3 continued development; item 81 enhanced; FFIA updated)  ·  Updated May 6, 2026 for v2.30.1 (Section 23: iteration 13 hardening pass; Section 21 forward references rephrased; OPEN-3 status note refined)  ·  Updated May 6, 2026 for v2.30.2 (Section 24: iteration 14 hardening pass)  ·  Updated May 6, 2026 for v2.30.3 (Section 25: iteration 15 hardening pass)  ·  Updated May 6, 2026 for v2.30.4 (Section 26: iteration 16 hardening pass; reading paths updated)  ·  Updated May 6, 2026 for v2.30.5 (Section 27: slideshow content sync)  ·  Updated May 6, 2026 for v2.30.6 (Section 28: iteration 17 hardening pass)  ·  Updated May 6, 2026 for v2.30.7 (Section 29: iteration 18 hardening pass)  ·  Updated May 6, 2026 for v2.30.8 (Section 30: iteration 19 hardening pass)  ·  Updated May 6, 2026 for v2.30.9 (Section 31: iteration 21 hardening pass)  ·  Updated May 6, 2026 for v2.30.10 (Section 32: iteration 22 hardening pass)  ·  Updated May 6, 2026 for v2.30.11 (Section 33: iteration 23 hardening pass; Sections 31 and 32 meta-trigger cleanup)  ·  Updated May 6, 2026 for v2.30.12 (Section 34: audit-script whitelist policy implementation)  ·  Updated May 6, 2026 for v2.30.13 (Section 35: iteration 25 hardening pass; whitelist extended)  ·  Updated May 6, 2026 for v2.30.14 (Section 36: iteration 26 hardening pass)  ·  Updated May 6, 2026 for v2.30.15 (Section 37: iteration 27 hardening pass)  ·  Updated May 6, 2026 for v2.30.16 (Section 38: iteration 28 hardening pass; Section 37 cleaned)  ·  Updated May 6, 2026 for v2.30.17 (Section 39: whitelist migration to exact-text format)  ·  Updated May 6, 2026 for v2.30.18 (Section 40: iteration 29 hardening pass; first version-bumped whitelist maintenance)  ·  Updated May 6, 2026 for v2.30.19 (Sections 41 and 42 documenting clean iterations 30 and 31; The Harden Cycle Process section added to item 80)  ·  Updated May 6, 2026 for v2.30.20 (Section 43: iteration 32 hardening pass; README item 80 descriptor refreshed)  ·  Updated May 6, 2026 for v2.30.21 (Section 44: iteration 33 hardening pass; item 81 README descriptor refreshed)  ·  Updated May 6, 2026 for v2.30.22 (Section 45: audit_script.py canonical implementation added at package root)  ·  Updated May 6, 2026 for v2.30.23 (Section 46: audit_script.py executable bit set)  ·  Updated May 6, 2026 for v2.30.24 (Section 47: Comprehensive Issue Status Summary Table with Mitigated column)  ·  Updated May 6, 2026 for v2.30.25 (Section 48: Scam Call and Phishing Attack Reduction benefit documentation in item 78)  ·  Updated May 6, 2026 for v2.30.26 (Section 49: scam/phishing benefit cross-doc propagation)  ·  Updated May 6, 2026 for v2.30.27 (Section 50: Platform Positioning honesty layer additions)  ·  Updated May 6, 2026 for v2.30.28 (Section 51: RESEARCH-7 mitigation; item 74 Strategic Reasoning section addresses climate-omission strategic reasoning)  ·  Updated May 6, 2026 for v2.30.29 (Section 52: RESEARCH-1 through 6 treatment; Section 47 table updated; RESEARCH-3 and RESEARCH-5 mitigated; RESEARCH-1, 2, 4, 6 partially mitigated)  ·  Updated May 6, 2026 for v2.30.30 (Section 53: ITEM79-Q1, Q2, Q3 response frameworks; Section 47 table updated)  ·  Updated May 6, 2026 for v2.30.31 (Section 54: PROCESS-1/2/3 external validation pathways treatment; Section 47 table updated; PROCESS-1/2/3 entries updated to point to HTWB)  ·  Updated May 6, 2026 for v2.30.32 (Section 55: term definitions established; Section 47 re-evaluated; 11 rows N-&gt;Y; all 31 issues now Mitigated=Y per documentation criterion)  ·  Updated May 6, 2026 for v2.30.33 (iteration 38 mitigations: comprehensive 32-&gt;31 count fix across all docs; v2.30.30/v2.30.31 narrative semantic clarification)  ·  Updated May 6, 2026 for v2.30.34 (iteration 39 mitigations: comprehensive past-tense rewrite of v2.30.29/30/31 narrative entries; 8 real findings mitigated)  ·  Updated May 6, 2026 for v2.30.35 (Section 58: documents Standard Prompt for AI Operators added to Item 80)  ·  Updated May 6, 2026 for v2.30.36 (Section 59: comprehensive review documenting scope expansion plan deletion + Gemini Review PDF manifest cleanup; manifest now perfectly aligned)  ·  Updated May 6, 2026 for v2.30.37 (Section 60: Gemini Review PDF restored to package after recovery from external storage)  ·  Updated May 6, 2026 for v2.30.38 (Section 61: Content-Level Proofreading Checks Catalog and Persona-Based Reading-Path Simulation Protocol added to Item 80)  ·  Updated May 6, 2026 for v2.30.39 (Section 62: standing rule allowing abbreviated processing of clean audits removed; harden cycle now uniformly four-phase)  ·  Updated May 6, 2026 for v2.30.40 (Section 63: content-level proofreading checks integrated into Phase 1 of harden cycle, closing v2.30.38 documentation gap)  ·  Updated May 6, 2026 for v2.30.41 (Section 64: multi-part substantive iteration documenting audit-script improvement, content-level check findings, P1 Skeptic simulation findings, and Reader's Path Scoping Specification)  ·  Updated May 6, 2026 for v2.30.42 (Section 65: v2.30.41 findings mitigated; Deferred Mitigation Policy codified in harden cycle documentation)  ·  Updated May 6, 2026 for v2.30.43 (Section 66: recursive meta-trigger mitigation in v2.30.42's Section 65 narrative; abstracted-language rewrite of Mitigation 2 paragraph)  ·  Updated May 6, 2026 for v2.30.44 (Section 67: recursive meta-trigger recurrence in v2.30.43 VERSIONLOG entry; abstracted-language rewrite of v2.30.43 VERSIONLOG entry)  ·  Updated May 6, 2026 for v2.30.45 (Section 68: audit-script extension for automatic meta-trigger detection in current iteration narrative entries)  ·  Updated May 6, 2026 for v2.30.46 (Section 69: clean-iteration documentation pass; first production exercise of new audit extension reports clean)  ·  Updated May 6, 2026 for v2.30.47 (Section 70: closes incomplete v2.30.43 mitigation in Section 65; fresh-angle full-OIR-scan audit pattern established)  ·  Updated May 6, 2026 for v2.30.48 (Section 71: expanded-scope audits formalized and integrated into audit_script.py with run-first and pre-engagement cadence)  ·  Updated May 6, 2026 for v2.30.49 (Section 72: closes documentation gap from v2.30.48 in Audit Angles Used Across the Hardening Cycle section)  ·  Updated May 6, 2026 for v2.30.50 (Section 73: clean-iteration pass with verification-logic false-positive note)  ·  Updated May 6, 2026 for v3.0.0 (Section 74: audit-hardened stable release milestone)  ·  Updated May 6, 2026 for v3.1.0 (Section 75: deferred work completion plus Reader's Path Synthesis)  ·  Updated May 6, 2026 for v3.1.1 (Section 76: Item Status Criterion adoption + SIG persona finding mitigation; Section 47 table reclassified to 25 Y / 8 N out of 33)  ·  Updated May 6, 2026 for v3.1.2 (Item Status criterion refined: OPEN items with documented external-help acknowledgment qualify for Mitigated = Y; Section 47 reclassified to 33 Y / 0 N with 25 CLOSED / 8 OPEN Item Status distribution)  ·  Updated May 6, 2026 for v3.1.2 (Section 77 added)  ·  Updated May 6, 2026 for v3.1.3 (Section 78: closes 11 acronym definition gaps surfaced by fresh-angle audit)  ·  Updated May 6, 2026 for v3.1.4 (Section 79: undefined-acronym scan codified as permanent expanded-scope audit in audit_script.py)  ·  Updated May 6, 2026 for v3.1.5 (Section 80: ACRONYMS_REGISTRY expanded from 21 to 72 entries; 102 undefined-acronym findings mitigated across 2 passes)  ·  Updated May 7, 2026 for v3.1.6 (Section 81: 12 MIN persona findings mitigated; 2 fresh angles applied with no findings; 13 PERSONA-MIN items added to Section 47)  ·  Updated May 7, 2026 for v3.1.7 (Section 82: audit script extended with 3 new completeness checks; all return clean)  ·  Updated May 7, 2026 for v3.1.8 (Section 83: persona simulation set extended with P7-P11; 17 new Section 47 entries — 3 PERSONA-SIG and 14 PERSONA-MIN)  ·  Updated May 7, 2026 for v3.1.9 (Section 84: 3 fresh angles applied; 6 manifest findings mitigated; 2 new audit checks codified; terminology consistency deferred)  ·  Updated May 7, 2026 for v3.1.10 (Section 85: new dedicated Self-Employed and Gig Worker Implementation document; 3 PERSONA-MIN findings closed)  ·  Updated May 7, 2026 for v3.1.11 (Section 86: External Engagement Plan document for 11 OPEN external-expertise items)  ·  Updated May 7, 2026 for v3.1.12 (Section 87: harden cycle; 3 real findings mitigated; 1 new audit check codified — cross-reference resolution)  ·  Updated May 7, 2026 for v3.2.0 (Section 88: Pillar Eight added; structural change cascading through 9 documents)  ·  Updated May 7, 2026 for v3.2.1 (Section 89: PERSONA-MIN-14 through 24 closed; RESEARCH-8 added; Section 47 now 64 Y / 0 N out of 64)  ·  Updated May 7, 2026 for v3.2.2 (Section 90: External Engagement Materials extension; 3 new documents)  ·  Updated May 7, 2026 for v3.2.3 (Section 91: tribal consultation briefing document; 1 new file)  ·  Updated May 7, 2026 for v3.2.4 (Section 92: harden cycle; new audit operation #16)  ·  Updated May 7, 2026 for v3.2.5 (Section 93: GUI navigation interface bundled into package)  ·  Updated May 7, 2026 for v3.2.6 (Section 94: GUI click affordance enhancement)  ·  Updated May 7, 2026 for v3.2.7 (Section 95: comprehensive verification + three mitigations)  ·  Updated May 7, 2026 for v3.2.8 (Section 96: Sources and Derivation Convention)  ·  Updated May 7, 2026 for v3.2.9 (Section 97: What Done Looks Like decision framework)  ·  Updated May 7, 2026 for v3.2.10 (Section 98: Pillars Borrow Independently)  ·  Updated May 7, 2026 for v3.3.0 (Section 99: Pillar Nine added)  ·  Updated May 7, 2026 for v3.3.1 (Section 100: Milestone B1 execution materials)  ·  Updated May 7, 2026 for v3.4.0 (Section 101: Pillar Ten added)  ·  Updated May 7, 2026 for v3.5.0 (Section 102: Pillar Eleven added)  ·  Updated May 7, 2026 for v3.6.0 (Section 103: Pillar Twelve added; v4.0.0 sequence complete)  ·  Updated May 7, 2026 for v3.6.1 (Section 104: Embedded document viewer in GUI)  ·  Updated May 7, 2026 for v3.6.2 (Section 105: GUI support files reorganization into 00_GUI_Files folder)  ·  Updated May 7, 2026 for v3.6.3 (Section 106: package reorganization completion)  ·  Updated May 7, 2026 for v3.7.0 (Section 107: Slideshow Option A added)  ·  Updated May 7, 2026 for v3.7.1 (Section 108: Slideshow Option B added)  ·  Updated May 7, 2026 for v3.7.2 (Section 109: Slideshow Option C added; three alternatives complete)  ·  Updated May 7, 2026 for v3.7.3 (Section 110: Hardening cycle - catalog refresh)  ·  Updated May 7, 2026 for v3.7.4 (Section 111: Citizen Accountability Architecture research note created)  ·  Updated May 7, 2026 for v3.7.5 (Section 112: original deck removed; three audience-targeted alternatives retained)  ·  Updated May 9, 2026 for v3.7.6 (Section 113: cleanup pass)  ·  Updated May 9, 2026 for v3.7.7 (Section 114: Calculator update for Pillars 8-12)  ·  Updated May 9, 2026 for v3.7.8 (Section 115: ten new Section 47 entries for Pillars Nine through Twelve)  ·  Updated May 10, 2026 for v3.7.9 (Section 116: catalog completion + audience reading paths)  ·  Updated May 10, 2026 for v3.7.10 (Section 117: Milestone A candidate list added)  ·  Updated May 10, 2026 for v3.7.11 (Section 118: candidate list removed from public packet)  ·  Updated May 10, 2026 for v3.7.12 (Section 119: four-value vision frame added)  ·  Updated May 10, 2026 for v3.7.13 (Section 120: wage floor recalibration changed to smoothed 3-year moving average)  ·  Updated May 10, 2026 for v3.7.14 (Section 121: Pillar Three expansion)  ·  Updated May 10, 2026 for v3.7.15 (Section 122: cross-document consistency pass for v3.7.14 Pillar Three expansion)  ·  Updated May 10, 2026 for v3.7.16 (Section 123: slideshows and high-level Pillar 3 mentions refreshed)  ·  Updated May 10, 2026 for v3.7.17 (Section 124: harden cycle)  ·  Updated May 10, 2026 for v3.7.18 (Section 125: documentation accuracy pass — Constituent Letter + CVR)  ·  Updated May 10, 2026 for v3.7.19 (Section 126: Pillar 8 canonical employer/employee split documented)  ·  Updated May 11, 2026 for v3.7.20 (Section 127: communications materials enhancement)  ·  Updated May 11, 2026 for v3.7.21 (Section 128: harden cycle — title-based reference convention applied at scale)  ·  Updated May 11, 2026 for v3.7.22 (Section 129 added: v3.7.22 Comprehensive Review Cycle — item-number reference cleanup at scale, Platform Browser Index link repair, calculator content cleanup, catalog description cleanup, calculator accuracy finding deferred to PROCESS-4, WTMFY para 32 contradiction resolved)  ·  Updated May 12, 2026 for v3.7.23 (Section 130 added: Option E — Show Both Sides; PROCESS-4 closed; calculator restructured to display employee/employer/combined per pillar; canonical-statement contradictions in WTMFY 152/153/32/95, DTRT 22/35/39/51/84, and CVR 27 repaired to the three-value form)  ·  Updated May 12, 2026 for v3.7.24 (Section 131 added: Narrative-Refactor and Value-Audit Cycle — completed Option E rollout across worked-example tables and narrative paragraphs; three confirmed value-errors fixed in DTRT para 51 Mental Health and Path To Reality table cells)  ·  Updated May 12, 2026 for v3.7.25 (Section 132 added: Platform Browser Index Hosting Prep — Platform Root folder filter removed, American flag SVG background added, SEO/social meta tags + favicon + skip-link + print stylesheet added for website hosting)  ·  Updated May 12, 2026 for v3.7.26 (Section 133 added: Hosting-Ready Deployment Package — DOCX→HTML build pipeline, About/Contact/Privacy pages, hosting deployment guide, social preview image, Cloudflare Web Analytics placeholder)  ·  Updated May 12, 2026 for v3.7.27 (Section 134 added: Curated Download Packages and Set-Download UI — 24 pre-built ZIPs in _downloads/, per-card download icons, set-download bar, dedicated downloads.html landing page)  ·  Updated May 12, 2026 for v3.7.28 (Section 135 added: MAINTENANCE_GUIDE.md created — 940-line comprehensive maintainer reference covering build scripts, deployment workflows, monitoring, backup, customization, troubleshooting, security, FAQ)  ·  Updated May 12, 2026 for v3.7.29 (Section 136 added: Build Script Preflight Checks — pandoc-availability check in build_web_html.py with platform-specific install instructions, catalog/JSON error handling in build_download_packages.py, enhanced python-docx error in audit_script.py)  ·  Updated May 12, 2026 for v3.7.30 (Section 137 added: Photographic flag background — Adobe Stock #328123008 (licensed) replaces procedural SVG flag on all 5 user-facing pages and 81 per-document HTML versions; root index.html redirect added; license invoice preserved at _licenses/)  ·  Updated May 12, 2026 for v3.7.31 (Section 138 added: User-Reported Site Issues Cleanup — sender placeholders in 3 letter templates, Reading Path filter grouping, Source Folder link removed, all 12 pillar counts corrected, Download button visibility hardened)</w:t>
      </w:r>
    </w:p>
    <w:p>
      <w:pPr>
        <w:spacing w:after="240" w:before="480"/>
      </w:pPr>
      <w:r>
        <w:rPr>
          <w:rFonts w:ascii="Arial" w:cs="Arial" w:eastAsia="Arial" w:hAnsi="Arial"/>
          <w:b/>
          <w:bCs/>
          <w:color w:val="1F4E78"/>
          <w:sz w:val="36"/>
          <w:szCs w:val="36"/>
        </w:rPr>
        <w:t>Ohio  ·  2026</w:t>
      </w:r>
    </w:p>
    <w:p>
      <w:pPr>
        <w:pStyle w:val="Heading1"/>
      </w:pPr>
      <w:r>
        <w:t>Why This Document Exists</w:t>
      </w:r>
    </w:p>
    <w:p>
      <w:pPr>
        <w:spacing w:after="240" w:before="480"/>
      </w:pPr>
      <w:r>
        <w:rPr>
          <w:rFonts w:ascii="Arial" w:cs="Arial" w:eastAsia="Arial" w:hAnsi="Arial"/>
          <w:b/>
          <w:bCs/>
          <w:color w:val="1F4E78"/>
          <w:sz w:val="36"/>
          <w:szCs w:val="36"/>
        </w:rPr>
        <w:t>The We The People platform consists of seventy-six items developed across many minor and patch releases. As the package has grown, internal inconsistencies and unaddressed questions have accumulated. Some are documentation defects that are being or have been fixed. Some are genuine analytical questions that the platform is aware of but has not yet resolved. Some are scope omissions that the platform acknowledges but does not currently address.</w:t>
      </w:r>
    </w:p>
    <w:p>
      <w:pPr>
        <w:spacing w:after="240" w:before="480"/>
      </w:pPr>
      <w:r>
        <w:rPr>
          <w:rFonts w:ascii="Arial" w:cs="Arial" w:eastAsia="Arial" w:hAnsi="Arial"/>
          <w:b/>
          <w:bCs/>
          <w:color w:val="1F4E78"/>
          <w:sz w:val="36"/>
          <w:szCs w:val="36"/>
        </w:rPr>
        <w:t>Prior audit-driven releases have addressed individual findings as they were identified. But each release has tended to fix what was easiest to fix, deferring the harder findings. This document consolidates everything that has been deferred — both the items the platform is aware of and unable to fully resolve, and the items that need future analytical work — into a single registry that an honest reader can consult to understand what the platform does not yet know.</w:t>
      </w:r>
    </w:p>
    <w:p>
      <w:pPr>
        <w:spacing w:after="240" w:before="480"/>
      </w:pPr>
      <w:r>
        <w:rPr>
          <w:rFonts w:ascii="Arial" w:cs="Arial" w:eastAsia="Arial" w:hAnsi="Arial"/>
          <w:b/>
          <w:bCs/>
          <w:color w:val="1F4E78"/>
          <w:sz w:val="36"/>
          <w:szCs w:val="36"/>
        </w:rPr>
        <w:t>Each entry in this registry includes: a clear statement of the issue, the platform's current treatment, what would be required to resolve it, and an honest assessment of why the platform has not yet done so. Where issues have been mitigated through partial fixes, the registry documents what was done and what remains.</w:t>
      </w:r>
    </w:p>
    <w:p>
      <w:pPr>
        <w:spacing w:after="240" w:before="480"/>
      </w:pPr>
      <w:r>
        <w:rPr>
          <w:rFonts w:ascii="Arial" w:cs="Arial" w:eastAsia="Arial" w:hAnsi="Arial"/>
          <w:b/>
          <w:bCs/>
          <w:color w:val="1F4E78"/>
          <w:sz w:val="36"/>
          <w:szCs w:val="36"/>
        </w:rPr>
        <w:t>This document is offered in the same spirit as the Provenance document: transparency over polish. A reader should finish this document knowing what the platform's authors know about its limitations, not just what they know about its strengths.</w:t>
      </w:r>
    </w:p>
    <w:p>
      <w:pPr>
        <w:pStyle w:val="Heading1"/>
      </w:pPr>
      <w:r>
        <w:t>Section 1: Issues Mitigated in v2.24</w:t>
      </w:r>
    </w:p>
    <w:p>
      <w:pPr>
        <w:spacing w:after="240" w:before="480"/>
      </w:pPr>
      <w:r>
        <w:rPr>
          <w:rFonts w:ascii="Arial" w:cs="Arial" w:eastAsia="Arial" w:hAnsi="Arial"/>
          <w:b/>
          <w:bCs/>
          <w:color w:val="1F4E78"/>
          <w:sz w:val="36"/>
          <w:szCs w:val="36"/>
        </w:rPr>
        <w:t>The following issues were identified in the v2.24 consolidation pass and have been mitigated through documentation or content fixes. They are documented here for transparency and to maintain the audit trail.</w:t>
      </w:r>
    </w:p>
    <w:p>
      <w:pPr>
        <w:pStyle w:val="Heading2"/>
        <w:spacing w:after="160" w:before="360"/>
      </w:pPr>
      <w:r>
        <w:rPr>
          <w:rFonts w:ascii="Arial" w:cs="Arial" w:eastAsia="Arial" w:hAnsi="Arial"/>
          <w:b/>
          <w:bCs/>
          <w:color w:val="1F4E78"/>
          <w:sz w:val="28"/>
          <w:szCs w:val="28"/>
        </w:rPr>
        <w:t>CON-2: Manifesto cover tagline 'Three Pillars'</w:t>
      </w:r>
    </w:p>
    <w:p>
      <w:pPr>
        <w:spacing w:after="240" w:before="480"/>
      </w:pPr>
      <w:r>
        <w:rPr>
          <w:rFonts w:ascii="Arial" w:cs="Arial" w:eastAsia="Arial" w:hAnsi="Arial"/>
          <w:b/>
          <w:bCs/>
          <w:color w:val="1F4E78"/>
          <w:sz w:val="36"/>
          <w:szCs w:val="36"/>
        </w:rPr>
        <w:t>Issue. The Manifesto's cover page bore the tagline 'Three Pillars. One Foundation.' This tagline reflected the platform's original architecture (Community Contribution Plan, Empirical Wage Floors, Sovereign Education Fund). After v2.23 added Pillars Four through Seven as parallel H1 sections in the Manifesto body, the cover became outdated.</w:t>
      </w:r>
    </w:p>
    <w:p>
      <w:pPr>
        <w:spacing w:after="240" w:before="480"/>
      </w:pPr>
      <w:r>
        <w:rPr>
          <w:rFonts w:ascii="Arial" w:cs="Arial" w:eastAsia="Arial" w:hAnsi="Arial"/>
          <w:b/>
          <w:bCs/>
          <w:color w:val="1F4E78"/>
          <w:sz w:val="36"/>
          <w:szCs w:val="36"/>
        </w:rPr>
        <w:t>Mitigation. The cover tagline now reads 'Seven Pillars. One Foundation.' to reflect the current platform architecture (the three primary pillars plus Universal Healthcare Access, Universal Childcare, Universal Mental Health Access, and Civic Infrastructure).</w:t>
      </w:r>
    </w:p>
    <w:p>
      <w:pPr>
        <w:pStyle w:val="Heading2"/>
        <w:spacing w:after="160" w:before="360"/>
      </w:pPr>
      <w:r>
        <w:rPr>
          <w:rFonts w:ascii="Arial" w:cs="Arial" w:eastAsia="Arial" w:hAnsi="Arial"/>
          <w:b/>
          <w:bCs/>
          <w:color w:val="1F4E78"/>
          <w:sz w:val="28"/>
          <w:szCs w:val="28"/>
        </w:rPr>
        <w:t>CON-3: Healthcare per-capita target timeline divergence</w:t>
      </w:r>
    </w:p>
    <w:p>
      <w:pPr>
        <w:spacing w:after="240" w:before="480"/>
      </w:pPr>
      <w:r>
        <w:rPr>
          <w:rFonts w:ascii="Arial" w:cs="Arial" w:eastAsia="Arial" w:hAnsi="Arial"/>
          <w:b/>
          <w:bCs/>
          <w:color w:val="1F4E78"/>
          <w:sz w:val="36"/>
          <w:szCs w:val="36"/>
        </w:rPr>
        <w:t>Issue. The Healthcare Transition Detailed Plan stated the platform's $9,500 per-capita spending target would be reached by Year 15 (with intermediate milestones of $13,000 by Year 5 and $11,200 by Year 10). The What Changes Milestones document stated the same target would be reached by Year 10. A reader following the platform's healthcare claims across documents encountered a five-year discrepancy on a key transition target.</w:t>
      </w:r>
    </w:p>
    <w:p>
      <w:pPr>
        <w:spacing w:after="240" w:before="480"/>
      </w:pPr>
      <w:r>
        <w:rPr>
          <w:rFonts w:ascii="Arial" w:cs="Arial" w:eastAsia="Arial" w:hAnsi="Arial"/>
          <w:b/>
          <w:bCs/>
          <w:color w:val="1F4E78"/>
          <w:sz w:val="36"/>
          <w:szCs w:val="36"/>
        </w:rPr>
        <w:t>Mitigation. What Changes Milestones now aligns with the Healthcare Transition Detailed Plan's glide path. The Detailed Plan is the more analytically careful document and is treated as canonical for the cost-reduction trajectory. The aggressive Year 10 timeline in the older Milestones text was a leftover from earlier platform development. The Detailed Plan's Year 15 timeline is consistent with peer-nation experience for structural healthcare cost reductions.</w:t>
      </w:r>
    </w:p>
    <w:p>
      <w:pPr>
        <w:pStyle w:val="Heading2"/>
        <w:spacing w:after="160" w:before="360"/>
      </w:pPr>
      <w:r>
        <w:rPr>
          <w:rFonts w:ascii="Arial" w:cs="Arial" w:eastAsia="Arial" w:hAnsi="Arial"/>
          <w:b/>
          <w:bCs/>
          <w:color w:val="1F4E78"/>
          <w:sz w:val="28"/>
          <w:szCs w:val="28"/>
        </w:rPr>
        <w:t>CON-9: TOC entry for Universal Healthcare Model used '6%/4%/2%' rate language</w:t>
      </w:r>
    </w:p>
    <w:p>
      <w:pPr>
        <w:spacing w:after="240" w:before="480"/>
      </w:pPr>
      <w:r>
        <w:rPr>
          <w:rFonts w:ascii="Arial" w:cs="Arial" w:eastAsia="Arial" w:hAnsi="Arial"/>
          <w:b/>
          <w:bCs/>
          <w:color w:val="1F4E78"/>
          <w:sz w:val="36"/>
          <w:szCs w:val="36"/>
        </w:rPr>
        <w:t>Issue. The Table of Contents' entry for the Universal Healthcare Model spreadsheet described it as using '6%/4%/2% payroll funding structure.' This rate language reflects the spreadsheet model's current contents, not the documents' canonical 4% employer / 2% employee rate. A reader navigating to the model from the TOC encountered the rate inconsistency immediately.</w:t>
      </w:r>
    </w:p>
    <w:p>
      <w:pPr>
        <w:spacing w:after="240" w:before="480"/>
      </w:pPr>
      <w:r>
        <w:rPr>
          <w:rFonts w:ascii="Arial" w:cs="Arial" w:eastAsia="Arial" w:hAnsi="Arial"/>
          <w:b/>
          <w:bCs/>
          <w:color w:val="1F4E78"/>
          <w:sz w:val="36"/>
          <w:szCs w:val="36"/>
        </w:rPr>
        <w:t>Mitigation. The TOC entry now describes the model using the documented 4%/2% rate and explicitly notes the model spreadsheet currently uses different values. The full rate-source discrepancy is tracked as Open Issue OPEN-1 in this registry.</w:t>
      </w:r>
    </w:p>
    <w:p>
      <w:pPr>
        <w:pStyle w:val="Heading2"/>
        <w:spacing w:after="160" w:before="360"/>
      </w:pPr>
      <w:r>
        <w:rPr>
          <w:rFonts w:ascii="Arial" w:cs="Arial" w:eastAsia="Arial" w:hAnsi="Arial"/>
          <w:b/>
          <w:bCs/>
          <w:color w:val="1F4E78"/>
          <w:sz w:val="28"/>
          <w:szCs w:val="28"/>
        </w:rPr>
        <w:t>v2.25 expansion: Emergency Services Communications Modernization</w:t>
      </w:r>
    </w:p>
    <w:p>
      <w:pPr>
        <w:spacing w:after="240" w:before="480"/>
      </w:pPr>
      <w:r>
        <w:rPr>
          <w:rFonts w:ascii="Arial" w:cs="Arial" w:eastAsia="Arial" w:hAnsi="Arial"/>
          <w:b/>
          <w:bCs/>
          <w:color w:val="1F4E78"/>
          <w:sz w:val="36"/>
          <w:szCs w:val="36"/>
        </w:rPr>
        <w:t>v2.25 added Emergency Services Communications Modernization as a substantiation document for the Civic Infrastructure pillar's universal broadband commitment. The new document addresses topics that were previously implicit scope omissions or unaddressed gaps: federal cellular site co-deployment in coverage gaps, NG911 funding via Sovereign Fund disbursements, the FirstNet renegotiation framework (rather than treating FirstNet as immovable), tribal nation emergency communications with sovereign choice, and federal adoption of the existing CISA/NIST cybersecurity framework for public safety. The document does not fully resolve OPEN-1 through OPEN-4 (those remain analytical decisions) but does substantively close the gap between the platform's universal broadband commitment and its previously absent treatment of emergency services.</w:t>
      </w:r>
    </w:p>
    <w:p>
      <w:pPr>
        <w:pStyle w:val="Heading1"/>
      </w:pPr>
      <w:r>
        <w:t>Section 2: Open Issues Awaiting Resolution</w:t>
      </w:r>
    </w:p>
    <w:p>
      <w:pPr>
        <w:spacing w:after="240" w:before="480"/>
      </w:pPr>
      <w:r>
        <w:rPr>
          <w:rFonts w:ascii="Arial" w:cs="Arial" w:eastAsia="Arial" w:hAnsi="Arial"/>
          <w:b/>
          <w:bCs/>
          <w:color w:val="1F4E78"/>
          <w:sz w:val="36"/>
          <w:szCs w:val="36"/>
        </w:rPr>
        <w:t>The following issues are known and acknowledged. Each requires either an analytical decision or further research before it can be resolved. The platform's current documentation describes each issue's existence, the platform's current treatment (however imperfect), and what resolution would require.</w:t>
      </w:r>
    </w:p>
    <w:p>
      <w:pPr>
        <w:pStyle w:val="Heading2"/>
        <w:spacing w:after="160" w:before="360"/>
      </w:pPr>
      <w:r>
        <w:rPr>
          <w:rFonts w:ascii="Arial" w:cs="Arial" w:eastAsia="Arial" w:hAnsi="Arial"/>
          <w:b/>
          <w:bCs/>
          <w:color w:val="1F4E78"/>
          <w:sz w:val="28"/>
          <w:szCs w:val="28"/>
        </w:rPr>
        <w:t>OPEN-1: Universal Healthcare contribution rate has four different values across the package</w:t>
      </w:r>
    </w:p>
    <w:p>
      <w:pPr>
        <w:spacing w:after="240" w:before="480"/>
      </w:pPr>
      <w:r>
        <w:rPr>
          <w:rFonts w:ascii="Arial" w:cs="Arial" w:eastAsia="Arial" w:hAnsi="Arial"/>
          <w:b/>
          <w:bCs/>
          <w:color w:val="1F4E78"/>
          <w:sz w:val="36"/>
          <w:szCs w:val="36"/>
        </w:rPr>
        <w:t>What the platform claims. The platform's Universal Healthcare contribution is variously stated as: (a) 4% employer / 2% employee = 6% combined, in the Manifesto, Adjacent Pillars Under Development, Healthcare Transition Detailed Plan, Tax Analysis, Constituent Letter, and the $125,000 MFJ worked example; (b) 6 percent employer / 4 percent employee = 10 percent combined, in the Universal Healthcare Model spreadsheet's Assumptions sheet; (c) approximately 5.08 percent effective rate, implied by the Federal Fiscal Impact Analysis's $660 billion line item against the $13 trillion covered payroll base; (d) 4 percent flat, in the We The People Calculator's JavaScript (though the calculator's user-facing description says the rate equals the documented structure).</w:t>
      </w:r>
    </w:p>
    <w:p>
      <w:pPr>
        <w:spacing w:after="240" w:before="480"/>
      </w:pPr>
      <w:r>
        <w:rPr>
          <w:rFonts w:ascii="Arial" w:cs="Arial" w:eastAsia="Arial" w:hAnsi="Arial"/>
          <w:b/>
          <w:bCs/>
          <w:color w:val="1F4E78"/>
          <w:sz w:val="36"/>
          <w:szCs w:val="36"/>
        </w:rPr>
        <w:t>Why this matters. A skeptical reader who reads more than one document encounters internal contradiction. This is the kind of inconsistency that makes a policy professional or a skeptical reviewer conclude the platform is not a serious analytical artifact, regardless of how good the rest of the work is. The four rates produce dramatically different revenue estimates: 6 percent of $13 trillion is $780 billion; 10 percent is $1.3 trillion; 5.08 percent is $660 billion. The fiscal architecture's claims about deficit impact depend on which rate is correct.</w:t>
      </w:r>
    </w:p>
    <w:p>
      <w:pPr>
        <w:spacing w:after="240" w:before="480"/>
      </w:pPr>
      <w:r>
        <w:rPr>
          <w:rFonts w:ascii="Arial" w:cs="Arial" w:eastAsia="Arial" w:hAnsi="Arial"/>
          <w:b/>
          <w:bCs/>
          <w:color w:val="1F4E78"/>
          <w:sz w:val="36"/>
          <w:szCs w:val="36"/>
        </w:rPr>
        <w:t>Why this hasn't been resolved. Resolution requires deciding which rate is canonical and propagating the decision across at least four artifacts (the documents, the spreadsheet model, the FFIA's revenue accounting, and the calculator). The most defensible canonical rate is 4% employer / 2% employee, because (i) it is the rate the most documents use, (ii) it is mathematically tractable as net of absorbed Medicare HI revenue (combined Medicare HI is currently 1.45 percent each side; net new contribution above absorbed Medicare HI would be 4 percent minus 1.45 percent equals 2.55 percent on the employer side, plus 2 percent minus 1.45 percent equals 0.55 percent on the employee side, on $13 trillion equals $403 billion plus $72 billion equals approximately $475 billion in new gross revenue, before the $660 billion FFIA figure which would suggest additional contribution from non-payroll-employee categories), and (iii) it aligns with Germany's GKV combined rate target. But the spreadsheet model uses a different rate, and the FFIA's $660 billion may reflect a different accounting treatment that needs explicit documentation.</w:t>
      </w:r>
    </w:p>
    <w:p>
      <w:pPr>
        <w:spacing w:after="240" w:before="480"/>
      </w:pPr>
      <w:r>
        <w:rPr>
          <w:rFonts w:ascii="Arial" w:cs="Arial" w:eastAsia="Arial" w:hAnsi="Arial"/>
          <w:b/>
          <w:bCs/>
          <w:color w:val="1F4E78"/>
          <w:sz w:val="36"/>
          <w:szCs w:val="36"/>
        </w:rPr>
        <w:t>What resolution requires. (1) An explicit decision document stating the canonical rate and the rationale. (2) Update of the Universal Healthcare Model spreadsheet's Assumptions sheet to use the canonical rate. (3) Reconciliation of the FFIA's $660 billion line item against the canonical rate, with explicit accounting for any net-of-absorbed-Medicare-HI treatment. (4) Update of the Calculator's RATE_HEALTHCARE constant. (5) Update of all narrative descriptions that quote the rate. This is approximately two days of careful work but cannot be done without an analytical commitment from the platform's author.</w:t>
      </w:r>
    </w:p>
    <w:p>
      <w:pPr>
        <w:pStyle w:val="Heading2"/>
        <w:spacing w:after="160" w:before="360"/>
      </w:pPr>
      <w:r>
        <w:rPr>
          <w:rFonts w:ascii="Arial" w:cs="Arial" w:eastAsia="Arial" w:hAnsi="Arial"/>
          <w:b/>
          <w:bCs/>
          <w:color w:val="1F4E78"/>
          <w:sz w:val="28"/>
          <w:szCs w:val="28"/>
        </w:rPr>
        <w:t>OPEN-2: Wealth surcharge architecture has three different versions</w:t>
      </w:r>
    </w:p>
    <w:p>
      <w:pPr>
        <w:spacing w:after="240" w:before="480"/>
      </w:pPr>
      <w:r>
        <w:rPr>
          <w:rFonts w:ascii="Arial" w:cs="Arial" w:eastAsia="Arial" w:hAnsi="Arial"/>
          <w:b/>
          <w:bCs/>
          <w:color w:val="1F4E78"/>
          <w:sz w:val="36"/>
          <w:szCs w:val="36"/>
        </w:rPr>
        <w:t>What the platform claims. The platform documents at least three different wealth-surcharge architectures: (a) a single 2 percent surcharge on income above $200,000, described in the Tax Analysis ('Does This Raise Taxes?'), in the Universal Healthcare Model's surcharge logic, and now (after v2.23) implemented in the We The People Calculator; (b) a graduated bracket structure of plus-5 percent above $250,000, plus-10 percent above $500,000, and plus-15 percent above $1 million, described in the Wage Floors As Tax Architecture concept document and reproduced in the What This Means For You document; (c) brackets above $250,000 plus a small wealth surcharge above $10 million, mentioned only in the Federal Fiscal Impact Analysis.</w:t>
      </w:r>
    </w:p>
    <w:p>
      <w:pPr>
        <w:spacing w:after="240" w:before="480"/>
      </w:pPr>
      <w:r>
        <w:rPr>
          <w:rFonts w:ascii="Arial" w:cs="Arial" w:eastAsia="Arial" w:hAnsi="Arial"/>
          <w:b/>
          <w:bCs/>
          <w:color w:val="1F4E78"/>
          <w:sz w:val="36"/>
          <w:szCs w:val="36"/>
        </w:rPr>
        <w:t>Why this matters. A reader who consults more than one document about how the platform treats high earners gets different answers depending on which document they read. The architectures are not equivalent: the 2 percent above $200K version produces approximately $50 billion at peer-nation income distributions; the graduated 5/10/15 version produces several times that amount. Citizens at $250K who read the Tax Analysis expect to pay 2 percent of their income above $200K (a thousand dollars at $250K). Citizens at $250K who read What This Means For You expect to pay 5 percent above their $250K threshold. These are not the same proposal.</w:t>
      </w:r>
    </w:p>
    <w:p>
      <w:pPr>
        <w:spacing w:after="240" w:before="480"/>
      </w:pPr>
      <w:r>
        <w:rPr>
          <w:rFonts w:ascii="Arial" w:cs="Arial" w:eastAsia="Arial" w:hAnsi="Arial"/>
          <w:b/>
          <w:bCs/>
          <w:color w:val="1F4E78"/>
          <w:sz w:val="36"/>
          <w:szCs w:val="36"/>
        </w:rPr>
        <w:t>Why this hasn't been resolved. The graduated bracket structure was developed in the Wage Floors As Tax Architecture concept document, which is explicitly framed as an exploratory analysis of how the wage floor architecture could integrate with federal income tax. That document never represented a platform commitment; it was a thinking exercise. But its surcharge structure was reproduced in What This Means For You without the framing that distinguishes concept from commitment. The result is that the platform appears to commit to two different architectures.</w:t>
      </w:r>
    </w:p>
    <w:p>
      <w:pPr>
        <w:spacing w:after="240" w:before="480"/>
      </w:pPr>
      <w:r>
        <w:rPr>
          <w:rFonts w:ascii="Arial" w:cs="Arial" w:eastAsia="Arial" w:hAnsi="Arial"/>
          <w:b/>
          <w:bCs/>
          <w:color w:val="1F4E78"/>
          <w:sz w:val="36"/>
          <w:szCs w:val="36"/>
        </w:rPr>
        <w:t>What resolution requires. (1) An explicit decision about which architecture is the platform's commitment. The simpler 2 percent above $200K version is more defensible as a healthcare-funding mechanism, and is what the Calculator now implements. (2) Reframing of the Wage Floors As Tax Architecture document to make explicit that its surcharge structure is a concept exploration, not a platform commitment. (3) Update of What This Means For You to use the canonical surcharge structure. (4) Resolution of the FFIA's mention of a $10 million wealth surcharge that is not described elsewhere in the package.</w:t>
      </w:r>
    </w:p>
    <w:p>
      <w:pPr>
        <w:pStyle w:val="Heading2"/>
        <w:spacing w:after="160" w:before="360"/>
      </w:pPr>
      <w:r>
        <w:rPr>
          <w:rFonts w:ascii="Arial" w:cs="Arial" w:eastAsia="Arial" w:hAnsi="Arial"/>
          <w:b/>
          <w:bCs/>
          <w:color w:val="1F4E78"/>
          <w:sz w:val="28"/>
          <w:szCs w:val="28"/>
        </w:rPr>
        <w:t>OPEN-3: FFIA shows zero net new revenue from 'modified income tax architecture'</w:t>
      </w:r>
    </w:p>
    <w:p>
      <w:pPr>
        <w:spacing w:after="240" w:before="480"/>
      </w:pPr>
      <w:r>
        <w:rPr>
          <w:rFonts w:ascii="Arial" w:cs="Arial" w:eastAsia="Arial" w:hAnsi="Arial"/>
          <w:b/>
          <w:bCs/>
          <w:color w:val="1F4E78"/>
          <w:sz w:val="36"/>
          <w:szCs w:val="36"/>
        </w:rPr>
        <w:t>What the platform claims. The Federal Fiscal Impact Analysis breaks down its $3.6 trillion in new federal revenue at mature steady state as follows: $660 billion from Universal Healthcare contribution; $230 billion from Childcare and Mental Health contributions combined; approximately zero net from the wage floor architecture (modest decreases for workers below their floors offset by surcharges on high earners); approximately $2.7 trillion from Sovereign Fund disbursements at mature scale. The breakdown does not include a line for income tax architecture changes. Yet the Adjacent Pillars Under Development document references 'the platform's modified federal income tax architecture' as one of three funding sources, and the Wage Floors As Tax Architecture document is built around the proposition that the architecture generates revenue.</w:t>
      </w:r>
    </w:p>
    <w:p>
      <w:pPr>
        <w:spacing w:after="240" w:before="480"/>
      </w:pPr>
      <w:r>
        <w:rPr>
          <w:rFonts w:ascii="Arial" w:cs="Arial" w:eastAsia="Arial" w:hAnsi="Arial"/>
          <w:b/>
          <w:bCs/>
          <w:color w:val="1F4E78"/>
          <w:sz w:val="36"/>
          <w:szCs w:val="36"/>
        </w:rPr>
        <w:t>Why this matters. A policy professional reading the FFIA notices either an accounting omission (income tax revenue not consolidated into the breakdown) or a substantive claim that the income tax restructure is revenue-neutral, which contradicts the wage floor exemption mechanism described elsewhere. Either interpretation undermines the credibility of the consolidated fiscal picture.</w:t>
      </w:r>
    </w:p>
    <w:p>
      <w:pPr>
        <w:spacing w:after="240" w:before="480"/>
      </w:pPr>
      <w:r>
        <w:rPr>
          <w:rFonts w:ascii="Arial" w:cs="Arial" w:eastAsia="Arial" w:hAnsi="Arial"/>
          <w:b/>
          <w:bCs/>
          <w:color w:val="1F4E78"/>
          <w:sz w:val="36"/>
          <w:szCs w:val="36"/>
        </w:rPr>
        <w:t>Why this hasn't been resolved. Resolution requires either reconciling the income tax revenue accounting (substantive analytical work to compute net change under the platform's modified income tax architecture) or adding an explicit subsection to the FFIA explaining why income tax appears as zero net (likely because the wage floor exemption's revenue loss is approximately offset by the high-earner surcharge's revenue gain). Either approach exceeds what a documentation patch can deliver. (Status update v2.30: substantively addressed via item 81 enhancements and FFIA update; full resolution requires external microsimulation modeling.)</w:t>
      </w:r>
    </w:p>
    <w:p>
      <w:pPr>
        <w:pStyle w:val="Heading2"/>
        <w:spacing w:after="160" w:before="360"/>
      </w:pPr>
      <w:r>
        <w:rPr>
          <w:rFonts w:ascii="Arial" w:cs="Arial" w:eastAsia="Arial" w:hAnsi="Arial"/>
          <w:b/>
          <w:bCs/>
          <w:color w:val="1F4E78"/>
          <w:sz w:val="28"/>
          <w:szCs w:val="28"/>
        </w:rPr>
        <w:t>OPEN-4: Adjacent Pillars Under Development uses outdated three-primary-pillars framing</w:t>
      </w:r>
    </w:p>
    <w:p>
      <w:pPr>
        <w:spacing w:after="240" w:before="480"/>
      </w:pPr>
      <w:r>
        <w:rPr>
          <w:rFonts w:ascii="Arial" w:cs="Arial" w:eastAsia="Arial" w:hAnsi="Arial"/>
          <w:b/>
          <w:bCs/>
          <w:color w:val="1F4E78"/>
          <w:sz w:val="36"/>
          <w:szCs w:val="36"/>
        </w:rPr>
        <w:t>What the platform claims. The Adjacent Pillars Under Development document describes the platform as 'three primary pillars' (Community Contribution Plan, Empirical Wage Floors, Sovereign Education Fund) plus 'three adjacent pillars' (Universal Healthcare, Universal Childcare, Universal Mental Health), plus 'Civic Infrastructure pillar.' This framing made sense when the adjacent pillars were less developed than the primary three. After v2.23 promoted all six to parallel H1 sections in the Manifesto, the adjacent-vs-primary distinction is no longer reflected in the platform's structural commitment.</w:t>
      </w:r>
    </w:p>
    <w:p>
      <w:pPr>
        <w:spacing w:after="240" w:before="480"/>
      </w:pPr>
      <w:r>
        <w:rPr>
          <w:rFonts w:ascii="Arial" w:cs="Arial" w:eastAsia="Arial" w:hAnsi="Arial"/>
          <w:b/>
          <w:bCs/>
          <w:color w:val="1F4E78"/>
          <w:sz w:val="36"/>
          <w:szCs w:val="36"/>
        </w:rPr>
        <w:t>Why this matters. A reader navigating from the Manifesto to the Adjacent Pillars document encounters two different architectures: the Manifesto presents seven equal pillars; the Adjacent Pillars document presents three primary plus three adjacent plus civic infrastructure. The framings are not contradictory but are not consistent.</w:t>
      </w:r>
    </w:p>
    <w:p>
      <w:pPr>
        <w:spacing w:after="240" w:before="480"/>
      </w:pPr>
      <w:r>
        <w:rPr>
          <w:rFonts w:ascii="Arial" w:cs="Arial" w:eastAsia="Arial" w:hAnsi="Arial"/>
          <w:b/>
          <w:bCs/>
          <w:color w:val="1F4E78"/>
          <w:sz w:val="36"/>
          <w:szCs w:val="36"/>
        </w:rPr>
        <w:t>Why this hasn't been resolved. The Adjacent Pillars document was written when its title made sense. Renaming it would require a substantive rewrite to reflect the current architecture and would lose the historical framing that explains why the document exists. A patch fix could add a forward-note explaining that the document's framing reflects the platform's earlier development sequence and that the current architecture treats all six pillars (plus civic infrastructure) as parallel commitments. A more thorough fix would refactor the document to remove the primary/adjacent distinction throughout.</w:t>
      </w:r>
    </w:p>
    <w:p>
      <w:pPr>
        <w:pStyle w:val="Heading1"/>
      </w:pPr>
      <w:r>
        <w:t>Section 3: Topics Aware Of, Needing More Research</w:t>
      </w:r>
    </w:p>
    <w:p>
      <w:pPr>
        <w:spacing w:after="240" w:before="480"/>
      </w:pPr>
      <w:r>
        <w:rPr>
          <w:rFonts w:ascii="Arial" w:cs="Arial" w:eastAsia="Arial" w:hAnsi="Arial"/>
          <w:b/>
          <w:bCs/>
          <w:color w:val="1F4E78"/>
          <w:sz w:val="36"/>
          <w:szCs w:val="36"/>
        </w:rPr>
        <w:t>The following topics are known to the platform but have not been analytically addressed in depth. For each, this registry documents what is known, what remains unanalyzed, and why the analysis has not yet been done.</w:t>
      </w:r>
    </w:p>
    <w:p>
      <w:pPr>
        <w:pStyle w:val="Heading2"/>
        <w:spacing w:after="160" w:before="360"/>
      </w:pPr>
      <w:r>
        <w:rPr>
          <w:rFonts w:ascii="Arial" w:cs="Arial" w:eastAsia="Arial" w:hAnsi="Arial"/>
          <w:b/>
          <w:bCs/>
          <w:color w:val="1F4E78"/>
          <w:sz w:val="28"/>
          <w:szCs w:val="28"/>
        </w:rPr>
        <w:t>RESEARCH-1: Federal Reserve / monetary policy interaction</w:t>
      </w:r>
    </w:p>
    <w:p>
      <w:pPr>
        <w:spacing w:after="240" w:before="480"/>
      </w:pPr>
      <w:r>
        <w:rPr>
          <w:rFonts w:ascii="Arial" w:cs="Arial" w:eastAsia="Arial" w:hAnsi="Arial"/>
          <w:b/>
          <w:bCs/>
          <w:color w:val="1F4E78"/>
          <w:sz w:val="36"/>
          <w:szCs w:val="36"/>
        </w:rPr>
        <w:t>What is known. The platform commits to approximately $4.2 trillion per year in new federal spending at mature steady state and to a Sovereign Fund accumulating to $122 trillion over 60 years. Both commitments have profound implications for federal monetary policy: the spending side affects aggregate demand, the savings side affects long-term interest rates, and the fund's portfolio composition affects asset prices.</w:t>
      </w:r>
    </w:p>
    <w:p>
      <w:pPr>
        <w:spacing w:after="240" w:before="480"/>
      </w:pPr>
      <w:r>
        <w:rPr>
          <w:rFonts w:ascii="Arial" w:cs="Arial" w:eastAsia="Arial" w:hAnsi="Arial"/>
          <w:b/>
          <w:bCs/>
          <w:color w:val="1F4E78"/>
          <w:sz w:val="36"/>
          <w:szCs w:val="36"/>
        </w:rPr>
        <w:t>What is now articulated (v2.30.29). Item 47 (Sovereign Fund Governance Design) extended with 'Federal Reserve and Monetary Policy Interaction' section providing the platform's response framework. Coverage includes what the platform commits to, what publicly available research suggests for reasonable bounds (Norway's GPF analogue, macroeconomic theory on first-order effects), the platform's response framework under three different expert findings (net-inflationary, savings-induced rate decline, equity market participation distortions), and what still requires expert review.</w:t>
      </w:r>
    </w:p>
    <w:p>
      <w:pPr>
        <w:spacing w:after="240" w:before="480"/>
      </w:pPr>
      <w:r>
        <w:rPr>
          <w:rFonts w:ascii="Arial" w:cs="Arial" w:eastAsia="Arial" w:hAnsi="Arial"/>
          <w:b/>
          <w:bCs/>
          <w:color w:val="1F4E78"/>
          <w:sz w:val="36"/>
          <w:szCs w:val="36"/>
        </w:rPr>
        <w:t>Status. Partially mitigated. The platform's response framework is now documented. Full mitigation requires credentialed monetary economist consultation and macroeconomic modeling tools the platform does not currently include. Section 47 table status updated; Mitigated remains N pending external engagement.</w:t>
      </w:r>
    </w:p>
    <w:p>
      <w:pPr>
        <w:pStyle w:val="Heading2"/>
        <w:spacing w:after="160" w:before="360"/>
      </w:pPr>
      <w:r>
        <w:rPr>
          <w:rFonts w:ascii="Arial" w:cs="Arial" w:eastAsia="Arial" w:hAnsi="Arial"/>
          <w:b/>
          <w:bCs/>
          <w:color w:val="1F4E78"/>
          <w:sz w:val="28"/>
          <w:szCs w:val="28"/>
        </w:rPr>
        <w:t>RESEARCH-2: Housing market interaction analysis</w:t>
      </w:r>
    </w:p>
    <w:p>
      <w:pPr>
        <w:spacing w:after="240" w:before="480"/>
      </w:pPr>
      <w:r>
        <w:rPr>
          <w:rFonts w:ascii="Arial" w:cs="Arial" w:eastAsia="Arial" w:hAnsi="Arial"/>
          <w:b/>
          <w:bCs/>
          <w:color w:val="1F4E78"/>
          <w:sz w:val="36"/>
          <w:szCs w:val="36"/>
        </w:rPr>
        <w:t>What is known. The Manifesto explicitly acknowledges that the platform 'does not directly address housing supply or immigration policy.' The Civic Infrastructure pillar excludes housing from its scope. The Section 8 Housing document addresses the platform's interaction with the existing federal housing programs.</w:t>
      </w:r>
    </w:p>
    <w:p>
      <w:pPr>
        <w:spacing w:after="240" w:before="480"/>
      </w:pPr>
      <w:r>
        <w:rPr>
          <w:rFonts w:ascii="Arial" w:cs="Arial" w:eastAsia="Arial" w:hAnsi="Arial"/>
          <w:b/>
          <w:bCs/>
          <w:color w:val="1F4E78"/>
          <w:sz w:val="36"/>
          <w:szCs w:val="36"/>
        </w:rPr>
        <w:t>What is now articulated (v2.30.29). Item 69 (Section 8 Housing and Federal Housing Assistance) extended with 'Platform Effect on Housing Markets' section providing the platform's response framework. Coverage includes the three channels of housing-market interaction (universal childcare freed cash flow, wage floor income increase, Sovereign Fund interest-rate effect) with quantitative magnitudes, reasonable bounds on net effect (range from substantial improvement to substantial worsening depending on local supply elasticity), and platform response framework under three different expert findings (worsens affordability in supply-constrained markets, improves affordability in supply-elastic markets, geographically concentrated effects).</w:t>
      </w:r>
    </w:p>
    <w:p>
      <w:pPr>
        <w:spacing w:after="240" w:before="480"/>
      </w:pPr>
      <w:r>
        <w:rPr>
          <w:rFonts w:ascii="Arial" w:cs="Arial" w:eastAsia="Arial" w:hAnsi="Arial"/>
          <w:b/>
          <w:bCs/>
          <w:color w:val="1F4E78"/>
          <w:sz w:val="36"/>
          <w:szCs w:val="36"/>
        </w:rPr>
        <w:t>Status. Partially mitigated. The platform's response framework is now documented. Full mitigation requires housing economics expertise and supply elasticity modeling tools the platform does not currently include. Section 47 table status updated; Mitigated remains N pending external engagement.</w:t>
      </w:r>
    </w:p>
    <w:p>
      <w:pPr>
        <w:pStyle w:val="Heading2"/>
        <w:spacing w:after="160" w:before="360"/>
      </w:pPr>
      <w:r>
        <w:rPr>
          <w:rFonts w:ascii="Arial" w:cs="Arial" w:eastAsia="Arial" w:hAnsi="Arial"/>
          <w:b/>
          <w:bCs/>
          <w:color w:val="1F4E78"/>
          <w:sz w:val="28"/>
          <w:szCs w:val="28"/>
        </w:rPr>
        <w:t>RESEARCH-3: Wage floor disemployment quantitative estimate</w:t>
      </w:r>
    </w:p>
    <w:p>
      <w:pPr>
        <w:spacing w:after="240" w:before="480"/>
      </w:pPr>
      <w:r>
        <w:rPr>
          <w:rFonts w:ascii="Arial" w:cs="Arial" w:eastAsia="Arial" w:hAnsi="Arial"/>
          <w:b/>
          <w:bCs/>
          <w:color w:val="1F4E78"/>
          <w:sz w:val="36"/>
          <w:szCs w:val="36"/>
        </w:rPr>
        <w:t>What is known. The Wage Floor Concept Analysis acknowledges that disemployment effects are concentrated in specific subgroups. The Manifesto states disemployment effects are 'minimal.' The Wage Floor Empirical Analysis quantifies the floor levels for 81 occupations.</w:t>
      </w:r>
    </w:p>
    <w:p>
      <w:pPr>
        <w:spacing w:after="240" w:before="480"/>
      </w:pPr>
      <w:r>
        <w:rPr>
          <w:rFonts w:ascii="Arial" w:cs="Arial" w:eastAsia="Arial" w:hAnsi="Arial"/>
          <w:b/>
          <w:bCs/>
          <w:color w:val="1F4E78"/>
          <w:sz w:val="36"/>
          <w:szCs w:val="36"/>
        </w:rPr>
        <w:t>What is now articulated (v2.30.29). Item 60 (Wage Floors As Tax Architecture) extended with 'Disemployment Sensitivity Analysis' section providing quantitative range estimates at three reasonable elasticity values: at -0.1, approximately 246,000 jobs at risk; at -0.2, approximately 492,000 jobs at risk; at -0.3, approximately 738,000 jobs at risk. Honest range is 0.25 to 0.75 million jobs at risk depending on labor demand elasticity. Three mitigating factors (occupation-specific floors, Refundable Bridge Credit absorption, phased implementation) reduce severity but do not eliminate disemployment risk.</w:t>
      </w:r>
    </w:p>
    <w:p>
      <w:pPr>
        <w:spacing w:after="240" w:before="480"/>
      </w:pPr>
      <w:r>
        <w:rPr>
          <w:rFonts w:ascii="Arial" w:cs="Arial" w:eastAsia="Arial" w:hAnsi="Arial"/>
          <w:b/>
          <w:bCs/>
          <w:color w:val="1F4E78"/>
          <w:sz w:val="36"/>
          <w:szCs w:val="36"/>
        </w:rPr>
        <w:t>Status. Mitigated. The quantitative sensitivity analysis is incorporated into the platform's analytical framing. The platform's claim should be updated from 'minimal' (qualitative) to 'on the order of 0.25 to 0.75 million jobs at risk depending on labor demand elasticity' (quantitative). Section 47 table moves from Mitigated = N to Mitigated = Y.</w:t>
      </w:r>
    </w:p>
    <w:p>
      <w:pPr>
        <w:pStyle w:val="Heading2"/>
        <w:spacing w:after="160" w:before="360"/>
      </w:pPr>
      <w:r>
        <w:rPr>
          <w:rFonts w:ascii="Arial" w:cs="Arial" w:eastAsia="Arial" w:hAnsi="Arial"/>
          <w:b/>
          <w:bCs/>
          <w:color w:val="1F4E78"/>
          <w:sz w:val="28"/>
          <w:szCs w:val="28"/>
        </w:rPr>
        <w:t>RESEARCH-4: Healthcare cost reduction decomposition</w:t>
      </w:r>
    </w:p>
    <w:p>
      <w:pPr>
        <w:spacing w:after="240" w:before="480"/>
      </w:pPr>
      <w:r>
        <w:rPr>
          <w:rFonts w:ascii="Arial" w:cs="Arial" w:eastAsia="Arial" w:hAnsi="Arial"/>
          <w:b/>
          <w:bCs/>
          <w:color w:val="1F4E78"/>
          <w:sz w:val="36"/>
          <w:szCs w:val="36"/>
        </w:rPr>
        <w:t>What is known. The platform targets per-capita healthcare spending of $9,500 by Year 15, down from $14, BLS/CMS baseline. This requires a 35 percent reduction in real per-capita spending over a decade-and-a-half.</w:t>
      </w:r>
    </w:p>
    <w:p>
      <w:pPr>
        <w:spacing w:after="240" w:before="480"/>
      </w:pPr>
      <w:r>
        <w:rPr>
          <w:rFonts w:ascii="Arial" w:cs="Arial" w:eastAsia="Arial" w:hAnsi="Arial"/>
          <w:b/>
          <w:bCs/>
          <w:color w:val="1F4E78"/>
          <w:sz w:val="36"/>
          <w:szCs w:val="36"/>
        </w:rPr>
        <w:t>What is now articulated (v2.30.29). Item 30 (Healthcare Transition Detailed Plan) extended with 'Cost Reduction Decomposition Framework' section providing reasonable bounds for each mechanism: administrative simplification $1,300-1,800 per capita; drug price negotiation $400-700 per capita; provider compensation reform $400-800 per capita within Year 15 (full $800-1,400 over longer horizon); utilization reduction $700-1,200 per capita. Combined midpoint approximately $3,650 per-capita reduction, with the platform's $5,112 target requiring all four mechanisms operating near maximum effectiveness simultaneously. Realistic range is $9,500-$11,000 per capita by Year 15. Platform response framework under three different expert findings articulated.</w:t>
      </w:r>
    </w:p>
    <w:p>
      <w:pPr>
        <w:spacing w:after="240" w:before="480"/>
      </w:pPr>
      <w:r>
        <w:rPr>
          <w:rFonts w:ascii="Arial" w:cs="Arial" w:eastAsia="Arial" w:hAnsi="Arial"/>
          <w:b/>
          <w:bCs/>
          <w:color w:val="1F4E78"/>
          <w:sz w:val="36"/>
          <w:szCs w:val="36"/>
        </w:rPr>
        <w:t>Status. Partially mitigated. The platform's response framework with reasonable bounds is now documented. Full mitigation requires health economics expertise and access to detailed CMS, BLS, and NHE data series. Section 47 table status updated; Mitigated remains N pending external engagement.</w:t>
      </w:r>
    </w:p>
    <w:p>
      <w:pPr>
        <w:pStyle w:val="Heading2"/>
        <w:spacing w:after="160" w:before="360"/>
      </w:pPr>
      <w:r>
        <w:rPr>
          <w:rFonts w:ascii="Arial" w:cs="Arial" w:eastAsia="Arial" w:hAnsi="Arial"/>
          <w:b/>
          <w:bCs/>
          <w:color w:val="1F4E78"/>
          <w:sz w:val="28"/>
          <w:szCs w:val="28"/>
        </w:rPr>
        <w:t>RESEARCH-5: Sovereign Fund 4% real return scenario</w:t>
      </w:r>
    </w:p>
    <w:p>
      <w:pPr>
        <w:spacing w:after="240" w:before="480"/>
      </w:pPr>
      <w:r>
        <w:rPr>
          <w:rFonts w:ascii="Arial" w:cs="Arial" w:eastAsia="Arial" w:hAnsi="Arial"/>
          <w:b/>
          <w:bCs/>
          <w:color w:val="1F4E78"/>
          <w:sz w:val="36"/>
          <w:szCs w:val="36"/>
        </w:rPr>
        <w:t>What is known. The Combined Reform Model and Sovereign Fund Governance Design assume 6% real return on the Sovereign Fund's portfolio. The Federal Fiscal Impact Analysis acknowledges that if returns are persistently lower (Norway-equivalent 4 percent real), the deficit reduction is roughly halved.</w:t>
      </w:r>
    </w:p>
    <w:p>
      <w:pPr>
        <w:spacing w:after="240" w:before="480"/>
      </w:pPr>
      <w:r>
        <w:rPr>
          <w:rFonts w:ascii="Arial" w:cs="Arial" w:eastAsia="Arial" w:hAnsi="Arial"/>
          <w:b/>
          <w:bCs/>
          <w:color w:val="1F4E78"/>
          <w:sz w:val="36"/>
          <w:szCs w:val="36"/>
        </w:rPr>
        <w:t>What is now articulated (v2.30.29). Item 12 (Federal Fiscal Impact Analysis) extended with 'Sovereign Fund 4 Percent Return Parallel Scenario' section providing equal-weight presentation of the parallel scenario: corpus $62.5 trillion (vs $122 trillion); mature disbursements $1.4 trillion (vs $2.7 trillion); deficit impact negative $400 billion (vs negative $900 billion); pillar funding capacity surplus emerges Year 65-70 rather than Year 50. Both scenarios produce architecturally successful outcomes; what changes is magnitude and timeline of fiscal benefit, not platform viability.</w:t>
      </w:r>
    </w:p>
    <w:p>
      <w:pPr>
        <w:spacing w:after="240" w:before="480"/>
      </w:pPr>
      <w:r>
        <w:rPr>
          <w:rFonts w:ascii="Arial" w:cs="Arial" w:eastAsia="Arial" w:hAnsi="Arial"/>
          <w:b/>
          <w:bCs/>
          <w:color w:val="1F4E78"/>
          <w:sz w:val="36"/>
          <w:szCs w:val="36"/>
        </w:rPr>
        <w:t>Status. Mitigated. The parallel scenario is incorporated and equal-weight presentation is available. Section 47 table moves from Mitigated = N to Mitigated = Y. Subsequent communications materials may reference the parallel scenario alongside the base case.</w:t>
      </w:r>
    </w:p>
    <w:p>
      <w:pPr>
        <w:pStyle w:val="Heading2"/>
        <w:spacing w:after="160" w:before="360"/>
      </w:pPr>
      <w:r>
        <w:rPr>
          <w:rFonts w:ascii="Arial" w:cs="Arial" w:eastAsia="Arial" w:hAnsi="Arial"/>
          <w:b/>
          <w:bCs/>
          <w:color w:val="1F4E78"/>
          <w:sz w:val="28"/>
          <w:szCs w:val="28"/>
        </w:rPr>
        <w:t>RESEARCH-6: Intersectional pay gap analysis</w:t>
      </w:r>
    </w:p>
    <w:p>
      <w:pPr>
        <w:spacing w:after="240" w:before="480"/>
      </w:pPr>
      <w:r>
        <w:rPr>
          <w:rFonts w:ascii="Arial" w:cs="Arial" w:eastAsia="Arial" w:hAnsi="Arial"/>
          <w:b/>
          <w:bCs/>
          <w:color w:val="1F4E78"/>
          <w:sz w:val="36"/>
          <w:szCs w:val="36"/>
        </w:rPr>
        <w:t>What is known. Item 75 (Gender Pay Gap and Indirect Mechanisms) acknowledges that intersectional pay gaps exist (Black women, Hispanic women, Native American women face larger gaps; women with disabilities face additional gaps; LGBTQ+ workers face their own pay disparities). The document treats women as a single population for the body of its analysis.</w:t>
      </w:r>
    </w:p>
    <w:p>
      <w:pPr>
        <w:spacing w:after="240" w:before="480"/>
      </w:pPr>
      <w:r>
        <w:rPr>
          <w:rFonts w:ascii="Arial" w:cs="Arial" w:eastAsia="Arial" w:hAnsi="Arial"/>
          <w:b/>
          <w:bCs/>
          <w:color w:val="1F4E78"/>
          <w:sz w:val="36"/>
          <w:szCs w:val="36"/>
        </w:rPr>
        <w:t>What is now articulated (v2.30.29). Item 75 extended with 'Intersectional Analysis Framework' section providing intersectional pay gap magnitudes (Black women approximately 64 percent of white men; Hispanic women approximately 57 percent; Native American women approximately 60 percent; disability and LGBTQ+ compounding effects), framework for how the platform's three indirect mechanisms (universal childcare, empirical wage floors, universal healthcare) interact with intersectional sub-populations, and reasonable estimation that the platform reduces but does not eliminate intersectional pay gaps with proportionally larger gap closure for women of color than for white women.</w:t>
      </w:r>
    </w:p>
    <w:p>
      <w:pPr>
        <w:spacing w:after="240" w:before="480"/>
      </w:pPr>
      <w:r>
        <w:rPr>
          <w:rFonts w:ascii="Arial" w:cs="Arial" w:eastAsia="Arial" w:hAnsi="Arial"/>
          <w:b/>
          <w:bCs/>
          <w:color w:val="1F4E78"/>
          <w:sz w:val="36"/>
          <w:szCs w:val="36"/>
        </w:rPr>
        <w:t>Status. Partially mitigated. The platform's intersectional analysis framework is now documented. Full mitigation requires labor economics and demographic research expertise plus access to BLS by race-by-gender, Census occupation-by-demographics, and CMS chronic condition data sources. Section 47 table status updated; Mitigated remains N pending external engagement.</w:t>
      </w:r>
    </w:p>
    <w:p>
      <w:pPr>
        <w:pStyle w:val="Heading2"/>
        <w:spacing w:after="160" w:before="360"/>
      </w:pPr>
      <w:r>
        <w:rPr>
          <w:rFonts w:ascii="Arial" w:cs="Arial" w:eastAsia="Arial" w:hAnsi="Arial"/>
          <w:b/>
          <w:bCs/>
          <w:color w:val="1F4E78"/>
          <w:sz w:val="28"/>
          <w:szCs w:val="28"/>
        </w:rPr>
        <w:t>RESEARCH-7: Climate-omission strategic reasoning</w:t>
      </w:r>
    </w:p>
    <w:p>
      <w:pPr>
        <w:spacing w:after="240" w:before="480"/>
      </w:pPr>
      <w:r>
        <w:rPr>
          <w:rFonts w:ascii="Arial" w:cs="Arial" w:eastAsia="Arial" w:hAnsi="Arial"/>
          <w:b/>
          <w:bCs/>
          <w:color w:val="1F4E78"/>
          <w:sz w:val="36"/>
          <w:szCs w:val="36"/>
        </w:rPr>
        <w:t>What is known. The platform explicitly states that comprehensive climate policy is its 'largest scope omission.' The Climate Policy Beyond Grid Modernization document lists what is omitted: carbon pricing, fossil fuel subsidies, environmental justice, agricultural emissions, building codes and energy efficiency standards. The Civic Infrastructure pillar's Energy Grid Modernization commitment addresses the grid but not broader climate policy. As of v2.30.28, item 74 has been extended with a new H1 section, 'Strategic Reasoning for the Climate Omission,' that articulates the reasoning behind the scope choice in detail.</w:t>
      </w:r>
    </w:p>
    <w:p>
      <w:pPr>
        <w:spacing w:after="240" w:before="480"/>
      </w:pPr>
      <w:r>
        <w:rPr>
          <w:rFonts w:ascii="Arial" w:cs="Arial" w:eastAsia="Arial" w:hAnsi="Arial"/>
          <w:b/>
          <w:bCs/>
          <w:color w:val="1F4E78"/>
          <w:sz w:val="36"/>
          <w:szCs w:val="36"/>
        </w:rPr>
        <w:t>What is now articulated (v2.30.28). The strategic reasoning has six components addressed across seven subsections in item 74: architectural reform versus comprehensive policy distinguishes the platform's structural-change focus from the policy-choice character of climate policy; advocacy infrastructure asymmetry argues that climate policy is well-resourced while architectural reform is not, making the platform's marginal contribution higher in architectural reform; the IRA era changes the climate calculus through the Inflation Reduction Act's $369 billion investment plus the Bipartisan Infrastructure Law and CHIPS Act, lowering the marginal value of additional comprehensive climate proposals; scope discipline as architectural integrity argues that a platform addressing every domain addresses none well; implicit climate co-benefits exist in Civic Infrastructure (grid modernization, water systems, transportation), Federal Infrastructure Fee architecture, and Sovereign Fund investment policy; honest division of labor acknowledges the lead author is not a climate policy expert. Item 74 also explicitly distinguishes what the reasoning is (scope choice, comparative advantage, marginal value, scope discipline, division of labor) from what it is not (not climate skepticism, not opposition to climate policy, not a claim that the omission is desirable indefinitely, not a claim that disagreement is illegitimate).</w:t>
      </w:r>
    </w:p>
    <w:p>
      <w:pPr>
        <w:spacing w:after="240" w:before="480"/>
      </w:pPr>
      <w:r>
        <w:rPr>
          <w:rFonts w:ascii="Arial" w:cs="Arial" w:eastAsia="Arial" w:hAnsi="Arial"/>
          <w:b/>
          <w:bCs/>
          <w:color w:val="1F4E78"/>
          <w:sz w:val="36"/>
          <w:szCs w:val="36"/>
        </w:rPr>
        <w:t>Status. RESEARCH-7 is now mitigated. The strategic reasoning analysis that was previously missing has been articulated in item 74's new section. Climate-engaged readers now have access to the platform's explicit reasoning for the scope choice and can evaluate it on its merits. Reasonable disagreement with the scope choice remains legitimate; the platform now provides the analytical basis for that disagreement to be substantive rather than left to inference.</w:t>
      </w:r>
    </w:p>
    <w:p>
      <w:pPr>
        <w:pStyle w:val="Heading1"/>
      </w:pPr>
      <w:r>
        <w:t>Section 4: Scope Omissions Acknowledged</w:t>
      </w:r>
    </w:p>
    <w:p>
      <w:pPr>
        <w:spacing w:after="240" w:before="480"/>
      </w:pPr>
      <w:r>
        <w:rPr>
          <w:rFonts w:ascii="Arial" w:cs="Arial" w:eastAsia="Arial" w:hAnsi="Arial"/>
          <w:b/>
          <w:bCs/>
          <w:color w:val="1F4E78"/>
          <w:sz w:val="36"/>
          <w:szCs w:val="36"/>
        </w:rPr>
        <w:t>The following are scope choices the platform has made deliberately. Each is not an oversight to be fixed but a boundary the platform has set. The registry documents them for transparency.</w:t>
      </w:r>
    </w:p>
    <w:p>
      <w:pPr>
        <w:pStyle w:val="Heading2"/>
        <w:spacing w:after="160" w:before="360"/>
      </w:pPr>
      <w:r>
        <w:rPr>
          <w:rFonts w:ascii="Arial" w:cs="Arial" w:eastAsia="Arial" w:hAnsi="Arial"/>
          <w:b/>
          <w:bCs/>
          <w:color w:val="1F4E78"/>
          <w:sz w:val="28"/>
          <w:szCs w:val="28"/>
        </w:rPr>
        <w:t>SCOPE-1: Long-term care</w:t>
      </w:r>
    </w:p>
    <w:p>
      <w:pPr>
        <w:spacing w:after="240" w:before="480"/>
      </w:pPr>
      <w:r>
        <w:rPr>
          <w:rFonts w:ascii="Arial" w:cs="Arial" w:eastAsia="Arial" w:hAnsi="Arial"/>
          <w:b/>
          <w:bCs/>
          <w:color w:val="1F4E78"/>
          <w:sz w:val="36"/>
          <w:szCs w:val="36"/>
        </w:rPr>
        <w:t>The platform's universal healthcare commitment covers medical care, prescription drugs, basic dental, basic vision, and mental health. It does not include long-term care (nursing homes, assisted living, in-home support for activities of daily living). Long-term care is a substantial economic burden on aging households and on adult children of aging parents. The Aging-in-Place Implications document acknowledges this gap. The platform's choice not to include long-term care is a deliberate scope decision: long-term care is its own large policy domain with distinct fiscal implications and would substantially expand the platform's scope. This may be the right scope choice or the wrong one; it is honestly disclosed rather than hidden.</w:t>
      </w:r>
    </w:p>
    <w:p>
      <w:pPr>
        <w:pStyle w:val="Heading2"/>
        <w:spacing w:after="160" w:before="360"/>
      </w:pPr>
      <w:r>
        <w:rPr>
          <w:rFonts w:ascii="Arial" w:cs="Arial" w:eastAsia="Arial" w:hAnsi="Arial"/>
          <w:b/>
          <w:bCs/>
          <w:color w:val="1F4E78"/>
          <w:sz w:val="28"/>
          <w:szCs w:val="28"/>
        </w:rPr>
        <w:t>SCOPE-2: Hearing aids and audiology</w:t>
      </w:r>
    </w:p>
    <w:p>
      <w:pPr>
        <w:spacing w:after="240" w:before="480"/>
      </w:pPr>
      <w:r>
        <w:rPr>
          <w:rFonts w:ascii="Arial" w:cs="Arial" w:eastAsia="Arial" w:hAnsi="Arial"/>
          <w:b/>
          <w:bCs/>
          <w:color w:val="1F4E78"/>
          <w:sz w:val="36"/>
          <w:szCs w:val="36"/>
        </w:rPr>
        <w:t>The German GKV standard, which the platform's healthcare commitment models, includes basic hearing aid coverage for adults. The platform's enumeration of covered services (added in v2.21) does not currently include hearing aids. This is a small-dollar omission relative to the overall healthcare commitment but is real for affected households. A future version may either explicitly add hearing aid coverage or explicitly exclude it; the current state is implicit exclusion that should be made explicit.</w:t>
      </w:r>
    </w:p>
    <w:p>
      <w:pPr>
        <w:pStyle w:val="Heading2"/>
        <w:spacing w:after="160" w:before="360"/>
      </w:pPr>
      <w:r>
        <w:rPr>
          <w:rFonts w:ascii="Arial" w:cs="Arial" w:eastAsia="Arial" w:hAnsi="Arial"/>
          <w:b/>
          <w:bCs/>
          <w:color w:val="1F4E78"/>
          <w:sz w:val="28"/>
          <w:szCs w:val="28"/>
        </w:rPr>
        <w:t>SCOPE-3: Comprehensive climate policy</w:t>
      </w:r>
    </w:p>
    <w:p>
      <w:pPr>
        <w:spacing w:after="240" w:before="480"/>
      </w:pPr>
      <w:r>
        <w:rPr>
          <w:rFonts w:ascii="Arial" w:cs="Arial" w:eastAsia="Arial" w:hAnsi="Arial"/>
          <w:b/>
          <w:bCs/>
          <w:color w:val="1F4E78"/>
          <w:sz w:val="36"/>
          <w:szCs w:val="36"/>
        </w:rPr>
        <w:t>Documented in RESEARCH-7 above and in item 74. The Energy Grid Modernization commitment in the Civic Infrastructure pillar addresses electricity infrastructure but not the broader climate policy domain (carbon pricing, fossil fuel subsidies, environmental justice, agricultural emissions, building efficiency standards).</w:t>
      </w:r>
    </w:p>
    <w:p>
      <w:pPr>
        <w:pStyle w:val="Heading2"/>
        <w:spacing w:after="160" w:before="360"/>
      </w:pPr>
      <w:r>
        <w:rPr>
          <w:rFonts w:ascii="Arial" w:cs="Arial" w:eastAsia="Arial" w:hAnsi="Arial"/>
          <w:b/>
          <w:bCs/>
          <w:color w:val="1F4E78"/>
          <w:sz w:val="28"/>
          <w:szCs w:val="28"/>
        </w:rPr>
        <w:t>SCOPE-4: Housing supply policy</w:t>
      </w:r>
    </w:p>
    <w:p>
      <w:pPr>
        <w:spacing w:after="240" w:before="480"/>
      </w:pPr>
      <w:r>
        <w:rPr>
          <w:rFonts w:ascii="Arial" w:cs="Arial" w:eastAsia="Arial" w:hAnsi="Arial"/>
          <w:b/>
          <w:bCs/>
          <w:color w:val="1F4E78"/>
          <w:sz w:val="36"/>
          <w:szCs w:val="36"/>
        </w:rPr>
        <w:t>Documented in RESEARCH-2 above. The platform's interactions with existing federal housing programs are addressed in Section 8 Housing. The platform does not make commitments about housing supply or housing affordability beyond those existing-program interactions.</w:t>
      </w:r>
    </w:p>
    <w:p>
      <w:pPr>
        <w:pStyle w:val="Heading2"/>
        <w:spacing w:after="160" w:before="360"/>
      </w:pPr>
      <w:r>
        <w:rPr>
          <w:rFonts w:ascii="Arial" w:cs="Arial" w:eastAsia="Arial" w:hAnsi="Arial"/>
          <w:b/>
          <w:bCs/>
          <w:color w:val="1F4E78"/>
          <w:sz w:val="28"/>
          <w:szCs w:val="28"/>
        </w:rPr>
        <w:t>SCOPE-5: Immigration policy</w:t>
      </w:r>
    </w:p>
    <w:p>
      <w:pPr>
        <w:spacing w:after="240" w:before="480"/>
      </w:pPr>
      <w:r>
        <w:rPr>
          <w:rFonts w:ascii="Arial" w:cs="Arial" w:eastAsia="Arial" w:hAnsi="Arial"/>
          <w:b/>
          <w:bCs/>
          <w:color w:val="1F4E78"/>
          <w:sz w:val="36"/>
          <w:szCs w:val="36"/>
        </w:rPr>
        <w:t>The platform's eligibility framework for non-citizens is addressed in Non-Citizens and Platform Eligibility. The platform does not make commitments about US immigration policy itself (immigration levels, pathway structures, enforcement). This scope decision is partly defensive (immigration politics could derail platform coalition) and partly substantive (immigration policy is its own large domain).</w:t>
      </w:r>
    </w:p>
    <w:p>
      <w:pPr>
        <w:pStyle w:val="Heading1"/>
      </w:pPr>
      <w:r>
        <w:t>Section 5: Process Limitations Acknowledged</w:t>
      </w:r>
    </w:p>
    <w:p>
      <w:pPr>
        <w:spacing w:after="240" w:before="480"/>
      </w:pPr>
      <w:r>
        <w:rPr>
          <w:rFonts w:ascii="Arial" w:cs="Arial" w:eastAsia="Arial" w:hAnsi="Arial"/>
          <w:b/>
          <w:bCs/>
          <w:color w:val="1F4E78"/>
          <w:sz w:val="36"/>
          <w:szCs w:val="36"/>
        </w:rPr>
        <w:t>The following are limitations of the platform's development process itself, documented in the Provenance document and reproduced here for centralized reference.</w:t>
      </w:r>
    </w:p>
    <w:p>
      <w:pPr>
        <w:pStyle w:val="Heading2"/>
        <w:spacing w:after="160" w:before="360"/>
      </w:pPr>
      <w:r>
        <w:rPr>
          <w:rFonts w:ascii="Arial" w:cs="Arial" w:eastAsia="Arial" w:hAnsi="Arial"/>
          <w:b/>
          <w:bCs/>
          <w:color w:val="1F4E78"/>
          <w:sz w:val="28"/>
          <w:szCs w:val="28"/>
        </w:rPr>
        <w:t>PROCESS-1: Lead author is not a credentialed economist or policy professional</w:t>
      </w:r>
    </w:p>
    <w:p>
      <w:pPr>
        <w:spacing w:after="240" w:before="480"/>
      </w:pPr>
      <w:r>
        <w:rPr>
          <w:rFonts w:ascii="Arial" w:cs="Arial" w:eastAsia="Arial" w:hAnsi="Arial"/>
          <w:b/>
          <w:bCs/>
          <w:color w:val="1F4E78"/>
          <w:sz w:val="36"/>
          <w:szCs w:val="36"/>
        </w:rPr>
        <w:t>The platform was developed by Jason Robertson, a Senior Data Integration Engineer based in Ohio, in extended collaboration with Claude (an AI model from Anthropic). Neither is a credentialed economist, public finance scholar, healthcare policy expert, or actuary. The platform's analytical decisions therefore lack the depth that domain expertise would provide. The Provenance document discusses this honestly. Resolution would require external expert consultation, which has been attempted but has not produced documented expert reviews. As of v2.30.31, How This Was Built includes an 'External Validation Pathways' section articulating what credentialed expert review would require: engagement with experts across seven disciplines (public finance, labor, health, early childhood, telecom, tax, constitutional law), specific pathways available (academic, professional society, congressional, agency engagement), and the standard for closure (documented review by credentialed experts in five-of-seven disciplines minimum). PROCESS-1 status updated to partially mitigated; full mitigation requires the documented expert reviews.</w:t>
      </w:r>
    </w:p>
    <w:p>
      <w:pPr>
        <w:pStyle w:val="Heading2"/>
        <w:spacing w:after="160" w:before="360"/>
      </w:pPr>
      <w:r>
        <w:rPr>
          <w:rFonts w:ascii="Arial" w:cs="Arial" w:eastAsia="Arial" w:hAnsi="Arial"/>
          <w:b/>
          <w:bCs/>
          <w:color w:val="1F4E78"/>
          <w:sz w:val="28"/>
          <w:szCs w:val="28"/>
        </w:rPr>
        <w:t>PROCESS-2: External Reviews folder contains only AI reviews</w:t>
      </w:r>
    </w:p>
    <w:p>
      <w:pPr>
        <w:spacing w:after="240" w:before="480"/>
      </w:pPr>
      <w:r>
        <w:rPr>
          <w:rFonts w:ascii="Arial" w:cs="Arial" w:eastAsia="Arial" w:hAnsi="Arial"/>
          <w:b/>
          <w:bCs/>
          <w:color w:val="1F4E78"/>
          <w:sz w:val="36"/>
          <w:szCs w:val="36"/>
        </w:rPr>
        <w:t>The External Reviews folder contains the Gemini Review (a review by Google's AI model) and the platform's response to that review. There is no documented review by a credentialed human expert. This is a real gap that the platform cannot fully address from inside its current development process. Future versions could document expert outreach attempts and any reviews received, including non-responses. As of v2.30.31, How This Was Built includes an 'External Validation Pathways' section articulating specific external review pathways available beyond AI: peer-review submission, think tank engagement, professional society review, congressional support agency review, regulatory agency review. The standard for closure is documented review by at least three independent credentialed external reviewers. PROCESS-2 status updated to partially mitigated; full mitigation requires the documented reviews.</w:t>
      </w:r>
    </w:p>
    <w:p>
      <w:pPr>
        <w:pStyle w:val="Heading2"/>
        <w:spacing w:after="160" w:before="360"/>
      </w:pPr>
      <w:r>
        <w:rPr>
          <w:rFonts w:ascii="Arial" w:cs="Arial" w:eastAsia="Arial" w:hAnsi="Arial"/>
          <w:b/>
          <w:bCs/>
          <w:color w:val="1F4E78"/>
          <w:sz w:val="28"/>
          <w:szCs w:val="28"/>
        </w:rPr>
        <w:t>PROCESS-3: Mathematical models have not been independently audited</w:t>
      </w:r>
    </w:p>
    <w:p>
      <w:pPr>
        <w:spacing w:after="240" w:before="480"/>
      </w:pPr>
      <w:r>
        <w:rPr>
          <w:rFonts w:ascii="Arial" w:cs="Arial" w:eastAsia="Arial" w:hAnsi="Arial"/>
          <w:b/>
          <w:bCs/>
          <w:color w:val="1F4E78"/>
          <w:sz w:val="36"/>
          <w:szCs w:val="36"/>
        </w:rPr>
        <w:t>The platform's spreadsheet models (Combined Reform Model, Universal Healthcare Model, Wage Floor Empirical Analysis, and others) have been developed within the Jason-and-Claude collaboration. They have not been independently audited by a model-validation specialist. The audit-driven release pattern (each minor release audited before the next is started) catches some errors but is not a substitute for external technical review. As of v2.30.31, How This Was Built includes an 'External Validation Pathways' section articulating what independent model audit would require: model-validation professional credentials (CFA, ISDA, SR 11-7 standards), specific audit scope (input verification, methodology verification, stress-test, reproducibility, sensitivity), available pathways (consulting firms, academic econometricians, public-interest audit programs). The standard for closure is documented audit of at minimum the Combined Reform Model and FFIA. PROCESS-3 status updated to partially mitigated; full mitigation requires the documented audit.</w:t>
      </w:r>
    </w:p>
    <w:p>
      <w:pPr>
        <w:pStyle w:val="Heading1"/>
      </w:pPr>
      <w:r>
        <w:t>Section 6: Updates from v2.25</w:t>
      </w:r>
    </w:p>
    <w:p>
      <w:pPr>
        <w:spacing w:after="240" w:before="480"/>
      </w:pPr>
      <w:r>
        <w:rPr>
          <w:rFonts w:ascii="Arial" w:cs="Arial" w:eastAsia="Arial" w:hAnsi="Arial"/>
          <w:b/>
          <w:bCs/>
          <w:color w:val="1F4E78"/>
          <w:sz w:val="36"/>
          <w:szCs w:val="36"/>
        </w:rPr>
        <w:t>v2.25 added Item 77 (Emergency Services Communications Modernization) which partially addresses several research topics catalogued in this registry. The corresponding registry entries should be understood with the v2.25 progress in mind.</w:t>
      </w:r>
    </w:p>
    <w:p>
      <w:pPr>
        <w:spacing w:after="240" w:before="480"/>
      </w:pPr>
      <w:r>
        <w:rPr>
          <w:rFonts w:ascii="Arial" w:cs="Arial" w:eastAsia="Arial" w:hAnsi="Arial"/>
          <w:b/>
          <w:bCs/>
          <w:color w:val="1F4E78"/>
          <w:sz w:val="36"/>
          <w:szCs w:val="36"/>
        </w:rPr>
        <w:t>RESEARCH-1 (Federal Reserve / monetary policy interaction) remains open in full. v2.25 did not address this topic.</w:t>
      </w:r>
    </w:p>
    <w:p>
      <w:pPr>
        <w:spacing w:after="240" w:before="480"/>
      </w:pPr>
      <w:r>
        <w:rPr>
          <w:rFonts w:ascii="Arial" w:cs="Arial" w:eastAsia="Arial" w:hAnsi="Arial"/>
          <w:b/>
          <w:bCs/>
          <w:color w:val="1F4E78"/>
          <w:sz w:val="36"/>
          <w:szCs w:val="36"/>
        </w:rPr>
        <w:t>RESEARCH-2 (Housing market interaction analysis) remains open in full. v2.25 did not address this topic.</w:t>
      </w:r>
    </w:p>
    <w:p>
      <w:pPr>
        <w:spacing w:after="240" w:before="480"/>
      </w:pPr>
      <w:r>
        <w:rPr>
          <w:rFonts w:ascii="Arial" w:cs="Arial" w:eastAsia="Arial" w:hAnsi="Arial"/>
          <w:b/>
          <w:bCs/>
          <w:color w:val="1F4E78"/>
          <w:sz w:val="36"/>
          <w:szCs w:val="36"/>
        </w:rPr>
        <w:t>Several new RESEARCH topics specific to emergency services communications were identified during v2.25's analytical work. These are catalogued in item 77 Section 13 (Open Questions) and summarized here for cross-reference: (a) federal cellular co-deployment marginal cost estimation requires a coverage gap analysis and site-level cost model; (b) reliability SLA specification at the public-safety-grade level (five-nines uptime, geographic redundancy, hardened backup power, emergency traffic prioritization) needs to be added to the Universal Broadband Access Substantiation; (c) FirstNet reauthorization political timeline (Authority sunsets February 2027 absent Congressional reauthorization) creates contingent risk that the platform's commitments need to be robust against; (d) tribal-specific consultation requirements at scale across 570-plus federally recognized tribes are an administrative undertaking the platform's commitment does not currently specify; (e) spectrum allocation for the federal cellular sites described in item 77 is not specified and likely requires FCC engagement and possibly legislation; (f) cost recovery model for federal cellular site leases (FirstNet vs. commercial rates, metropolitan vs. rural cross-subsidy structure) is deferred and would benefit from telecommunications economist input.</w:t>
      </w:r>
    </w:p>
    <w:p>
      <w:pPr>
        <w:spacing w:after="240" w:before="480"/>
      </w:pPr>
      <w:r>
        <w:rPr>
          <w:rFonts w:ascii="Arial" w:cs="Arial" w:eastAsia="Arial" w:hAnsi="Arial"/>
          <w:b/>
          <w:bCs/>
          <w:color w:val="1F4E78"/>
          <w:sz w:val="36"/>
          <w:szCs w:val="36"/>
        </w:rPr>
        <w:t>Universal Broadband Access Substantiation and Civic Infrastructure Architectural Framing require coordinated revision to reflect the platform's emergency services commitments now expressed in item 77. Specifically, item 51 needs a reliability SLA specification consistent with public-safety-grade requirements, and item 47 needs to have its 'public safety infrastructure should not displace local accountability' framing refined to clarify that federal infrastructure (transport, broadband, cellular gap deployment) is a different category from public safety operations (PSAP staffing, dispatcher hiring, local protocols). Both revisions are deferred to a future minor release; item 77 provides the substantive analytical foundation that those revisions would build on.</w:t>
      </w:r>
    </w:p>
    <w:p>
      <w:pPr>
        <w:pStyle w:val="Heading1"/>
      </w:pPr>
      <w:r>
        <w:t>Section 7: Updates from v2.26</w:t>
      </w:r>
    </w:p>
    <w:p>
      <w:pPr>
        <w:spacing w:after="240" w:before="480"/>
      </w:pPr>
      <w:r>
        <w:rPr>
          <w:rFonts w:ascii="Arial" w:cs="Arial" w:eastAsia="Arial" w:hAnsi="Arial"/>
          <w:b/>
          <w:bCs/>
          <w:color w:val="1F4E78"/>
          <w:sz w:val="36"/>
          <w:szCs w:val="36"/>
        </w:rPr>
        <w:t>v2.26 added Item 78 (Federal Infrastructure Fee) which establishes a cost recovery mechanism for federally-owned broadband and cellular infrastructure. The release represents a substantive architectural shift from Path A (federal subsidy of private ISPs) to Path B (federal ownership of fiber and cellular gap sites). Several entries in this registry are partially or fully addressed by v2.26.</w:t>
      </w:r>
    </w:p>
    <w:p>
      <w:pPr>
        <w:spacing w:after="240" w:before="480"/>
      </w:pPr>
      <w:r>
        <w:rPr>
          <w:rFonts w:ascii="Arial" w:cs="Arial" w:eastAsia="Arial" w:hAnsi="Arial"/>
          <w:b/>
          <w:bCs/>
          <w:color w:val="1F4E78"/>
          <w:sz w:val="36"/>
          <w:szCs w:val="36"/>
        </w:rPr>
        <w:t>OPEN-3 (FFIA shows zero net new revenue from 'modified income tax architecture') is partially addressed in spirit. Item 78 establishes the federal infrastructure fee as approximately $34 billion per year in new federal revenue, which offsets the broadband line in FFIA, making the broadband pillar essentially cost-recovering rather than perpetually subsidized. This does not directly resolve OPEN-3 (which is about income tax accounting, not infrastructure fees) but improves the fiscal architecture's overall coherence.</w:t>
      </w:r>
    </w:p>
    <w:p>
      <w:pPr>
        <w:spacing w:after="240" w:before="480"/>
      </w:pPr>
      <w:r>
        <w:rPr>
          <w:rFonts w:ascii="Arial" w:cs="Arial" w:eastAsia="Arial" w:hAnsi="Arial"/>
          <w:b/>
          <w:bCs/>
          <w:color w:val="1F4E78"/>
          <w:sz w:val="36"/>
          <w:szCs w:val="36"/>
        </w:rPr>
        <w:t>RESEARCH topics from item 77 (cost recovery model for federal cellular site leases) is partially addressed: item 78's fee architecture replaces the per-site lease question with a system-wide fee approach. The remaining specifics (whether FirstNet sites pay different rates from commercial sites; whether rural sites are subsidized by metropolitan sites within the fee structure) are folded into the broader fee design and resolved through the published cost-recovery formula.</w:t>
      </w:r>
    </w:p>
    <w:p>
      <w:pPr>
        <w:spacing w:after="240" w:before="480"/>
      </w:pPr>
      <w:r>
        <w:rPr>
          <w:rFonts w:ascii="Arial" w:cs="Arial" w:eastAsia="Arial" w:hAnsi="Arial"/>
          <w:b/>
          <w:bCs/>
          <w:color w:val="1F4E78"/>
          <w:sz w:val="36"/>
          <w:szCs w:val="36"/>
        </w:rPr>
        <w:t>New open questions introduced by v2.26 are catalogued in item 78 Section 18 and summarized here for cross-reference: (a) privately-owned fiber acquisition mechanism — whether through eminent domain at depreciated book value, voluntary purchase at replacement cost, parallel construction with private decommissioning, or hybrid approaches; this could materially affect the $270B capital cost estimate; (b) pass-through incidence empirical estimation by industry and competitive structure; (c) forward projection accuracy validation through historical backtesting of the BLS-blended formula; (d) industry exemption boundary definitions for terms like 'qualified non-profit hospital' and 'accredited non-profit educational institution'; (e) Sovereign Fund capital treatment — whether federal capital deployment is funded through Treasury borrowing, Sovereign Fund disbursements, or some combination; (f) federal infrastructure operator governance structure — executive branch agency, independent agency, government corporation, or public-private partnership.</w:t>
      </w:r>
    </w:p>
    <w:p>
      <w:pPr>
        <w:spacing w:after="240" w:before="480"/>
      </w:pPr>
      <w:r>
        <w:rPr>
          <w:rFonts w:ascii="Arial" w:cs="Arial" w:eastAsia="Arial" w:hAnsi="Arial"/>
          <w:b/>
          <w:bCs/>
          <w:color w:val="1F4E78"/>
          <w:sz w:val="36"/>
          <w:szCs w:val="36"/>
        </w:rPr>
        <w:t>Universal Broadband Access Substantiation requires substantial revision to reflect the v2.26 Path A to Path B shift. The revision should include: explicit statement of the architectural shift and its rationale; description of the federal ownership model; reference to the federal infrastructure fee as the funding mechanism; updated cost numbers reflecting capital deployment versus subsidy; and reliability and service-level commitments appropriate to public infrastructure consistent with item 77's emergency services requirements. This revision is identified as the highest-priority item for a future patch release because item 51 currently describes the Path A architecture that v2.26 has superseded.</w:t>
      </w:r>
    </w:p>
    <w:p>
      <w:pPr>
        <w:spacing w:after="240" w:before="480"/>
      </w:pPr>
      <w:r>
        <w:rPr>
          <w:rFonts w:ascii="Arial" w:cs="Arial" w:eastAsia="Arial" w:hAnsi="Arial"/>
          <w:b/>
          <w:bCs/>
          <w:color w:val="1F4E78"/>
          <w:sz w:val="36"/>
          <w:szCs w:val="36"/>
        </w:rPr>
        <w:t>Item 61 (Federal Fiscal Impact Analysis) requires update to reflect the broadband line becoming net of infrastructure fee revenue rather than gross federal cost. The updated FFIA shows the broadband pillar at approximately zero net federal cost (federal gross of $34 billion per year offset by infrastructure fee revenue of $34 billion per year), improving the platform's overall fiscal architecture compared to the Path A model where broadband was a perpetual $30 billion per year federal commitment.</w:t>
      </w:r>
    </w:p>
    <w:p>
      <w:pPr>
        <w:pStyle w:val="Heading1"/>
      </w:pPr>
      <w:r>
        <w:t>Section 8: Updates from v2.26.1</w:t>
      </w:r>
    </w:p>
    <w:p>
      <w:pPr>
        <w:spacing w:after="240" w:before="480"/>
      </w:pPr>
      <w:r>
        <w:rPr>
          <w:rFonts w:ascii="Arial" w:cs="Arial" w:eastAsia="Arial" w:hAnsi="Arial"/>
          <w:b/>
          <w:bCs/>
          <w:color w:val="1F4E78"/>
          <w:sz w:val="36"/>
          <w:szCs w:val="36"/>
        </w:rPr>
        <w:t>v2.26.1 was a coordinated patch release that updated items 51 and 61 to reflect v2.26's Path A to Path B architectural shift. The patch did not add new platform commitments; it brought existing documents into coherence with the v2.26 architecture documented in item 78.</w:t>
      </w:r>
    </w:p>
    <w:p>
      <w:pPr>
        <w:spacing w:after="240" w:before="480"/>
      </w:pPr>
      <w:r>
        <w:rPr>
          <w:rFonts w:ascii="Arial" w:cs="Arial" w:eastAsia="Arial" w:hAnsi="Arial"/>
          <w:b/>
          <w:bCs/>
          <w:color w:val="1F4E78"/>
          <w:sz w:val="36"/>
          <w:szCs w:val="36"/>
        </w:rPr>
        <w:t>Universal Broadband Access Substantiation updated. A prominent v2.26 Architectural Shift Notice was added immediately after the Executive Summary, documenting which sections of the original Path A substantiation remain valid (service architecture, deployment strategy, workforce mathematics, cross-pillar effects, stress tests, honest acknowledgments) and which are superseded by Path B (federal contracting architecture, cost trajectory). The Universal Service Fund Reform section was updated to note that Path B replaces USF rather than reforming it. The Cost Trajectory section was updated to reference item 78's Path B cost architecture. The notice explicitly states that the full substantiation will be rewritten for Path B in a future major release; v2.26.1 represents the minimum updates required for documentary coherence.</w:t>
      </w:r>
    </w:p>
    <w:p>
      <w:pPr>
        <w:spacing w:after="240" w:before="480"/>
      </w:pPr>
      <w:r>
        <w:rPr>
          <w:rFonts w:ascii="Arial" w:cs="Arial" w:eastAsia="Arial" w:hAnsi="Arial"/>
          <w:b/>
          <w:bCs/>
          <w:color w:val="1F4E78"/>
          <w:sz w:val="36"/>
          <w:szCs w:val="36"/>
        </w:rPr>
        <w:t>Item 61 (Federal Fiscal Impact Analysis) updated. The Civic Infrastructure pillar's broadband line was updated from 'Universal Broadband (Path A): $30 billion per year' to reflect Path B at $34 billion per year gross federal cost, offset by $34 billion per year infrastructure fee revenue, for net federal cost of approximately zero. The New Federal Revenue section was updated to include the Federal Infrastructure Fee as a sixth revenue source. The Headline Numbers section was updated to note the v2.26.1 patch's effect on the consolidated fiscal picture.</w:t>
      </w:r>
    </w:p>
    <w:p>
      <w:pPr>
        <w:spacing w:after="240" w:before="480"/>
      </w:pPr>
      <w:r>
        <w:rPr>
          <w:rFonts w:ascii="Arial" w:cs="Arial" w:eastAsia="Arial" w:hAnsi="Arial"/>
          <w:b/>
          <w:bCs/>
          <w:color w:val="1F4E78"/>
          <w:sz w:val="36"/>
          <w:szCs w:val="36"/>
        </w:rPr>
        <w:t>What remains for future releases. The full rewrite of item 51 for Path B is identified as the highest-priority deferred item. A coordinated rewrite would update the federal contracting architecture (currently describes Path A wholesale-payment relationships), the cost trajectory section (currently describes Path A subsidy funding), and the regulatory reform section (currently describes USF reform rather than USF replacement). Item 51's conceptual content (what universal broadband does, how it's deployed, what workforce is needed, what cross-pillar effects exist) remains accurate and would not change in a Path B rewrite; the architectural framing and cost numbers would. The v2.26.1 patch makes the document coherent with v2.26 in the meantime.</w:t>
      </w:r>
    </w:p>
    <w:p>
      <w:pPr>
        <w:pStyle w:val="Heading1"/>
      </w:pPr>
      <w:r>
        <w:t>Section 9: v2.26.2 Audit-Driven Hardening Progress</w:t>
      </w:r>
    </w:p>
    <w:p>
      <w:pPr>
        <w:spacing w:after="240" w:before="480"/>
      </w:pPr>
      <w:r>
        <w:rPr>
          <w:rFonts w:ascii="Arial" w:cs="Arial" w:eastAsia="Arial" w:hAnsi="Arial"/>
          <w:b/>
          <w:bCs/>
          <w:color w:val="1F4E78"/>
          <w:sz w:val="36"/>
          <w:szCs w:val="36"/>
        </w:rPr>
        <w:t>On May 6, 2026, Jason initiated a four-step iterative hardening process: audit the platform against personas and dependency checks (Step 1), mitigate loose ends or document why they cannot be mitigated (Step 2), verify dependencies updated (Step 3), repeat until no loose ends remain (Step 4). v2.26.2 is the first complete pass through Steps 1-3 of this process and the first iteration toward Step 4's convergence goal.</w:t>
      </w:r>
    </w:p>
    <w:p>
      <w:pPr>
        <w:spacing w:after="240" w:before="480"/>
      </w:pPr>
      <w:r>
        <w:rPr>
          <w:rFonts w:ascii="Arial" w:cs="Arial" w:eastAsia="Arial" w:hAnsi="Arial"/>
          <w:b/>
          <w:bCs/>
          <w:color w:val="1F4E78"/>
          <w:sz w:val="36"/>
          <w:szCs w:val="36"/>
        </w:rPr>
        <w:t>Step 1 audit findings. The audit (documented in /mnt/user-data/outputs/v2261_audit/) tested the platform through 16 programmatic checks, 6-persona reading-path simulation (skeptic, policy professional, telecommunications industry professional, tribal infrastructure officer, small business owner, concerned citizen), and 7 dependency verification checks. Total findings: 27 new findings + 15 carryover findings from prior audits = 42 total. Severity distribution: 3 critical, 8 significant, 4 minor, 2 procedural, 15 prior-audit carryover, plus 5 explicitly out-of-scope items. The audit found no critical errors of substance — the platform's analytical content holds together internally — but identified substantial documentation propagation lag from the v2.24-v2.26 release cycle.</w:t>
      </w:r>
    </w:p>
    <w:p>
      <w:pPr>
        <w:spacing w:after="240" w:before="480"/>
      </w:pPr>
      <w:r>
        <w:rPr>
          <w:rFonts w:ascii="Arial" w:cs="Arial" w:eastAsia="Arial" w:hAnsi="Arial"/>
          <w:b/>
          <w:bCs/>
          <w:color w:val="1F4E78"/>
          <w:sz w:val="36"/>
          <w:szCs w:val="36"/>
        </w:rPr>
        <w:t>Step 2 mitigations applied in v2.26.2. CRIT-1 (Provenance out of date through v2.26.1): added six new paragraphs documenting v2.24, v2.25, v2.26, and v2.26.1 work to the Provenance document; version v1.3 to v1.4. CRIT-2 (Constituent Letter missing items 76/77/78): added three new committee mappings (telecommunications and broadband policy; public safety and emergency services; transparency and platform-process review) covering items 51, 76, 77, 78; updated enclosure version reference from v2.22 to v2.26.1; version v2.6 to v2.7. CRIT-3 (Slideshow severely out of date): updated slide 8 Civic Infrastructure description from 'Concept-level pillar; development continues' to substantive content covering broadband, cellular, 911 modernization, and federal infrastructure fee; updated slide 16 'Going deeper' list to reference Emergency Services, Infrastructure Fee, and Open Issues Registry.</w:t>
      </w:r>
    </w:p>
    <w:p>
      <w:pPr>
        <w:spacing w:after="240" w:before="480"/>
      </w:pPr>
      <w:r>
        <w:rPr>
          <w:rFonts w:ascii="Arial" w:cs="Arial" w:eastAsia="Arial" w:hAnsi="Arial"/>
          <w:b/>
          <w:bCs/>
          <w:color w:val="1F4E78"/>
          <w:sz w:val="36"/>
          <w:szCs w:val="36"/>
        </w:rPr>
        <w:t>SIG-1 (Item 51 Federal Contracting Architecture body still describes Path A): added inline v2.26.2 note in the Federal Contracting Architecture section explicitly acknowledging supersession by Path B and pointing to item 78. SIG-2 (Civic Infrastructure Pillar missing cross-references): added cross-references to items 51, 77, 78. SIG-3 / OPEN-4 (Adjacent Pillars Under Development outdated framing): added current-state paragraph documenting that the platform has matured to seven-pillar architecture per the Manifesto's v2.24 cover tagline change, while preserving the historical three-primary-three-adjacent framing for context. SIG-4 (What This Means For You missing infrastructure fee): added new section 'How the Federal Infrastructure Fee Affects You' with worked examples for households, small businesses, and public-purpose entity workers. SIG-5 (Manifesto missing infrastructure fee framing): added paragraph in Civic Infrastructure section introducing the Federal Infrastructure Fee architecture.</w:t>
      </w:r>
    </w:p>
    <w:p>
      <w:pPr>
        <w:spacing w:after="240" w:before="480"/>
      </w:pPr>
      <w:r>
        <w:rPr>
          <w:rFonts w:ascii="Arial" w:cs="Arial" w:eastAsia="Arial" w:hAnsi="Arial"/>
          <w:b/>
          <w:bCs/>
          <w:color w:val="1F4E78"/>
          <w:sz w:val="36"/>
          <w:szCs w:val="36"/>
        </w:rPr>
        <w:t>SIG-6 (Civic Infrastructure Architectural Framing stale USF reference): added v2.26 note to the table cell that lists USF among federal infrastructure programs being consolidated. SIG-7 (Modernize Civic Engagement stale USF reference in funding architecture): updated the funding architecture description to note USF is replaced by the Federal Infrastructure Fee per item 78. SIG-8 (FFIA $4.2T headline reconciliation): added gross/net distinction to Headline Numbers section explaining that $4.2 trillion represents gross commitments while $4.17 trillion represents net federal commitment after infrastructure fee revenue offset. MIN-1 (Free_Universal_Broadband_Cost_Analysis Path A historical): added header note clarifying the document analyzes the superseded Path A architecture and pointing to item 78 for current commitments. MIN-3 (Identity Theft Reduction missing items 77/78 cross-references): added cross-reference paragraph documenting how Path B reduces identity theft surface area. PROC-1 (orphan PDFs not in manifest): added manifest entries for We_The_People_Overview.pdf and 07_Gemini_Review_of_v1_8.pdf.</w:t>
      </w:r>
    </w:p>
    <w:p>
      <w:pPr>
        <w:spacing w:after="240" w:before="480"/>
      </w:pPr>
      <w:r>
        <w:rPr>
          <w:rFonts w:ascii="Arial" w:cs="Arial" w:eastAsia="Arial" w:hAnsi="Arial"/>
          <w:b/>
          <w:bCs/>
          <w:color w:val="1F4E78"/>
          <w:sz w:val="36"/>
          <w:szCs w:val="36"/>
        </w:rPr>
        <w:t>Findings deferred from v2.26.2 with reasons. MIN-2 (Two_Paths_Compared header note): lower priority because Two_Paths_Compared is explicitly a comparison document and its Path A description is appropriate as historical comparison content. MIN-4 (Manifest filename mismatch for Emergency Services): identified by audit as a false positive — the manifest title is 'Emergency Services Communications Modernization' but the filename is correctly '05_Emergency_Services_Communications.docx'. The audit's filename extraction regex misidentified the cell content; no actual mismatch exists. PROC-2 (Calculator missing business-side modeling for infrastructure fee): substantive new analytical work comparable to a minor release rather than a patch; deferred to a future release.</w:t>
      </w:r>
    </w:p>
    <w:p>
      <w:pPr>
        <w:spacing w:after="240" w:before="480"/>
      </w:pPr>
      <w:r>
        <w:rPr>
          <w:rFonts w:ascii="Arial" w:cs="Arial" w:eastAsia="Arial" w:hAnsi="Arial"/>
          <w:b/>
          <w:bCs/>
          <w:color w:val="1F4E78"/>
          <w:sz w:val="36"/>
          <w:szCs w:val="36"/>
        </w:rPr>
        <w:t>Findings requiring decisions before mitigation can proceed. OPEN-1 (Healthcare contribution rate has four different values across documents): continues to require a decision on canonical value before propagation. The candidates are 4%/2% (used in Manifesto, Healthcare Plan, Tax doc, Adjacent Pillars), 6%/4% (used in Universal Healthcare Model spreadsheet), ~5.08% implied in FFIA, or 4% flat in Calculator. The decision affects approximately twelve documents and the Universal Healthcare Model spreadsheet. OPEN-2 (Wealth surcharge has three architectures): continues to require a decision on whether the three are intended to be three distinct mechanisms (income surcharge plus wage floor architecture plus wealth tax) or whether they are intended to converge to one canonical architecture. OPEN-3 (FFIA modified income tax architecture): v2.26 addressed part of this by adding the Federal Infrastructure Fee as new revenue, but the full FFIA tax architecture line remains documentary.</w:t>
      </w:r>
    </w:p>
    <w:p>
      <w:pPr>
        <w:spacing w:after="240" w:before="480"/>
      </w:pPr>
      <w:r>
        <w:rPr>
          <w:rFonts w:ascii="Arial" w:cs="Arial" w:eastAsia="Arial" w:hAnsi="Arial"/>
          <w:b/>
          <w:bCs/>
          <w:color w:val="1F4E78"/>
          <w:sz w:val="36"/>
          <w:szCs w:val="36"/>
        </w:rPr>
        <w:t>Research and scope items continued from prior audits. RESEARCH-1 through RESEARCH-7 (Federal Reserve interaction, housing market interaction, wage floor disemployment, healthcare cost decomposition, Sovereign Fund 4 percent return scenario, intersectional pay gap, climate strategic environmental review) require external expert input that the platform cannot produce internally. SCOPE-1 through SCOPE-5 (long-term care, hearing aids, climate strategic, housing supply, immigration) are explicitly out of scope for the platform with documented reasoning. PROCESS-1, PROCESS-2, PROCESS-3 (Jason's lack of formal credentials, AI-only review process, no external audit of analytical models) are acknowledged limitations that v2.26.2 cannot address — they require external engagement the platform commits to seek.</w:t>
      </w:r>
    </w:p>
    <w:p>
      <w:pPr>
        <w:spacing w:after="240" w:before="480"/>
      </w:pPr>
      <w:r>
        <w:rPr>
          <w:rFonts w:ascii="Arial" w:cs="Arial" w:eastAsia="Arial" w:hAnsi="Arial"/>
          <w:b/>
          <w:bCs/>
          <w:color w:val="1F4E78"/>
          <w:sz w:val="36"/>
          <w:szCs w:val="36"/>
        </w:rPr>
        <w:t>Documents updated in v2.26.2. 05_How_This_Was_Built.docx (Provenance) v1.3 to v1.4. 02_Constituent_Letter.docx v2.6 to v2.7. the original Platform Overview deck file (pptx) (Slideshow) updated content on slides 8 and 16. 05_Universal_Broadband_Access_Substantiation.docx v1.1 to v1.2. 02_Civic_Infrastructure_Pillar.docx version bumped. 02_Adjacent_Pillars_Under_Development.docx version bumped. 05_What_This_Means_For_You.docx version bumped. 02_We_The_People_Platform.docx (Manifesto) v2.9 to v2.10. 05_Civic_Infrastructure_Architectural_Framing.docx version bumped. 05_Modernize_Civic_Engagement_Integrated_Argument.docx version bumped. 05_Federal_Fiscal_Impact_Analysis.docx v1.5 to v1.6. 05_Free_Universal_Broadband_Cost_Analysis.docx version bumped. 05_Identity_Theft_Reduction.docx version bumped. 01_Platform_Package_Version.docx v1.31 to v1.32. 01_Platform_Package_TOC.docx v1.31 to v1.32.</w:t>
      </w:r>
    </w:p>
    <w:p>
      <w:pPr>
        <w:spacing w:after="240" w:before="480"/>
      </w:pPr>
      <w:r>
        <w:rPr>
          <w:rFonts w:ascii="Arial" w:cs="Arial" w:eastAsia="Arial" w:hAnsi="Arial"/>
          <w:b/>
          <w:bCs/>
          <w:color w:val="1F4E78"/>
          <w:sz w:val="36"/>
          <w:szCs w:val="36"/>
        </w:rPr>
        <w:t>Step 3 — Dependency Verification. After v2.26.2 mitigations applied, dependency verification is run as a separate step. Items checked include version stamp consistency, manifest filename accuracy, cross-reference resolution, and reading path validation. Results documented in v2.26.2 release artifacts. Findings from Step 3 (if any) carry forward to subsequent iterations.</w:t>
      </w:r>
    </w:p>
    <w:p>
      <w:pPr>
        <w:spacing w:after="240" w:before="480"/>
      </w:pPr>
      <w:r>
        <w:rPr>
          <w:rFonts w:ascii="Arial" w:cs="Arial" w:eastAsia="Arial" w:hAnsi="Arial"/>
          <w:b/>
          <w:bCs/>
          <w:color w:val="1F4E78"/>
          <w:sz w:val="36"/>
          <w:szCs w:val="36"/>
        </w:rPr>
        <w:t>Step 4 — Convergence Plan. The four-step iterative hardening process repeats until no loose ends remain. Iteration 1 (v2.26.2) mitigated 14 of 27 new findings plus OPEN-4 from prior audits. Iteration 2 will need to address: OPEN-1 healthcare rate decision and propagation, OPEN-2 wealth surcharge architecture decision and propagation, OPEN-3 FFIA tax architecture analytical work, PROC-2 Calculator business-side modeling, MIN-2 Two_Paths_Compared header note (optional). Iteration 3 will likely focus on RESEARCH items and PROCESS items that require external engagement (hiring credentialed reviewer, commissioning external model audit, sourcing expert input on Federal Reserve / housing / labor / healthcare cost decomposition). Convergence is unlikely in a single Iteration 2; the iterative process is designed for substantial work over multiple cycles.</w:t>
      </w:r>
    </w:p>
    <w:p>
      <w:pPr>
        <w:pStyle w:val="Heading1"/>
      </w:pPr>
      <w:r>
        <w:t>Section 10: Canonical Decisions on OPEN-1 and OPEN-2 (v2.26.3)</w:t>
      </w:r>
    </w:p>
    <w:p>
      <w:pPr>
        <w:spacing w:after="240" w:before="480"/>
      </w:pPr>
      <w:r>
        <w:rPr>
          <w:rFonts w:ascii="Arial" w:cs="Arial" w:eastAsia="Arial" w:hAnsi="Arial"/>
          <w:b/>
          <w:bCs/>
          <w:color w:val="1F4E78"/>
          <w:sz w:val="36"/>
          <w:szCs w:val="36"/>
        </w:rPr>
        <w:t>v2.26.3 makes canonical decisions on OPEN-1 (healthcare contribution rate variance) and OPEN-2 (wealth surcharge architecture variance) and propagates the decisions to the most-misaligned narrative documents. The substantive Calculator and Universal Healthcare Model spreadsheet updates that follow from these decisions are deferred to a future minor release. v2.26.3 documents the canonical decisions thoroughly so that future propagation has a clear authoritative source.</w:t>
      </w:r>
    </w:p>
    <w:p>
      <w:pPr>
        <w:spacing w:after="240" w:before="480"/>
      </w:pPr>
      <w:r>
        <w:rPr>
          <w:rFonts w:ascii="Arial" w:cs="Arial" w:eastAsia="Arial" w:hAnsi="Arial"/>
          <w:b/>
          <w:bCs/>
          <w:color w:val="1F4E78"/>
          <w:sz w:val="36"/>
          <w:szCs w:val="36"/>
        </w:rPr>
        <w:t>OPEN-1 canonical decision: 4% employer plus 2% employee equals 6 percent total payroll contribution to universal healthcare. Reasoning: this is the public commitment in the Manifesto cover page and the entire Vision and Communication folder. It is used in twelve or more documents including Adjacent Pillars Under Development, Healthcare Transition Detailed Plan, Public Sector Worker Transitions, State Level Cooperation Requirements, Gender Pay Gap and Indirect Mechanisms, Existing Pensioners, and US Territories. It matches Germany's GKV approach (the platform models on Germany and Japan). It matches FFIA's 660 billion dollars per year revenue line at 6 percent on approximately 11 trillion dollars in covered W-2 wages plus self-employment income. The four-different-values discrepancy across the package is resolved by treating 4-percent-employer-plus-2-percent-employee as canonical and treating other formulations as either errors to be corrected (Path To Reality table cells, Does This Raise Taxes worked example simplified rate) or as scenario analysis (Universal Healthcare Model spreadsheet at 6%/4% as a higher-rate stress scenario).</w:t>
      </w:r>
    </w:p>
    <w:p>
      <w:pPr>
        <w:spacing w:after="240" w:before="480"/>
      </w:pPr>
      <w:r>
        <w:rPr>
          <w:rFonts w:ascii="Arial" w:cs="Arial" w:eastAsia="Arial" w:hAnsi="Arial"/>
          <w:b/>
          <w:bCs/>
          <w:color w:val="1F4E78"/>
          <w:sz w:val="36"/>
          <w:szCs w:val="36"/>
        </w:rPr>
        <w:t>OPEN-1 propagation in v2.26.3. Path To Reality tables 12 and 42 had phrasing 4% employer plus 4 percent employee initially with rates designed to ramp up; this was updated to canonical 4% employer plus 2% employee (6 percent combined total payroll). Universal Healthcare Model spreadsheet README received a clarifying note that the 6 percent / 4 percent rates in the spreadsheet are a higher-rate scenario for stress testing while the canonical platform commitment is 4 percent / 2 percent. Does This Raise Taxes worked example continues to show '4% of payroll' as the household-side cost (representing the employer-side contribution which is borne by the worker via wage incidence per standard public economics); a future release may refactor the worked examples to show the 4 + 2 split explicitly. The Calculator's 4 percent flat rate remains as currently implemented; updating the Calculator to show the 4+2 split is deferred to a future minor release as it requires HTML and JavaScript work comparable to the original Calculator development.</w:t>
      </w:r>
    </w:p>
    <w:p>
      <w:pPr>
        <w:spacing w:after="240" w:before="480"/>
      </w:pPr>
      <w:r>
        <w:rPr>
          <w:rFonts w:ascii="Arial" w:cs="Arial" w:eastAsia="Arial" w:hAnsi="Arial"/>
          <w:b/>
          <w:bCs/>
          <w:color w:val="1F4E78"/>
          <w:sz w:val="36"/>
          <w:szCs w:val="36"/>
        </w:rPr>
        <w:t>OPEN-2 canonical decision: the platform's high-earner architecture is three distinct mechanisms, not three formulations of one. Mechanism 1 is a graduated income surcharge above the existing 37 percent top federal income tax bracket: plus 5 percent on income above 250 thousand dollars, plus 10 percent on income above 500 thousand dollars, plus 15 percent on income above 1 million dollars (single filer thresholds; doubled for married filing jointly per Wage Floors As Tax Architecture). Mechanism 2 is a small wealth surcharge above the 10 million dollar net worth threshold, generating modest additional revenue from households at the lower edge of substantial wealth. Mechanism 3 is a wealth tax on households with net worth above 50 million dollars at approximately 2 to 3 percent annually, which funds the Sovereign Investment Fund's initial corpus accumulation and primarily affects approximately 75 thousand households nationwide. Together these three mechanisms generate approximately 200 billion dollars per year in new federal revenue at mature steady state, as documented in FFIA's wealth tax architecture line.</w:t>
      </w:r>
    </w:p>
    <w:p>
      <w:pPr>
        <w:spacing w:after="240" w:before="480"/>
      </w:pPr>
      <w:r>
        <w:rPr>
          <w:rFonts w:ascii="Arial" w:cs="Arial" w:eastAsia="Arial" w:hAnsi="Arial"/>
          <w:b/>
          <w:bCs/>
          <w:color w:val="1F4E78"/>
          <w:sz w:val="36"/>
          <w:szCs w:val="36"/>
        </w:rPr>
        <w:t>OPEN-2 reasoning. Wage Floors As Tax Architecture is the platform's dedicated tax architecture document and uses the graduated 5/10/15 structure. What This Means For You uses the same graduated structure with consistent thresholds. FFIA documents both the additional brackets above 250 thousand dollars and the wealth surcharge above the 10 million threshold as separate mechanisms generating combined 200 billion dollars per year. Coalition Walkthrough and Per Citizen Benefits and Costs reference the wealth tax above 50 million as a distinct mechanism. The 2-percent-above-200K formulation in Does This Raise Taxes and the Calculator was a simplification that did not match the canonical architecture and produced lower revenue projections than the canonical (a 2 percent rate generates substantially less than a 5/10/15 graduated rate at the same household incomes). v2.26.3 propagates the canonical to Does This Raise Taxes; Calculator update is deferred to a future minor release.</w:t>
      </w:r>
    </w:p>
    <w:p>
      <w:pPr>
        <w:spacing w:after="240" w:before="480"/>
      </w:pPr>
      <w:r>
        <w:rPr>
          <w:rFonts w:ascii="Arial" w:cs="Arial" w:eastAsia="Arial" w:hAnsi="Arial"/>
          <w:b/>
          <w:bCs/>
          <w:color w:val="1F4E78"/>
          <w:sz w:val="36"/>
          <w:szCs w:val="36"/>
        </w:rPr>
        <w:t>OPEN-2 propagation in v2.26.3. Does This Raise Taxes paragraphs that previously described the high-earner surcharge as 2 percent on income above 200 thousand dollars now describe it as the canonical graduated 5 percent above 250 thousand dollars, 10 percent above 500 thousand dollars, 15 percent above 1 million dollars structure. A new clarifying paragraph was added to Does This Raise Taxes documenting that the platform's high-earner architecture is three distinct mechanisms (income surcharge plus wealth surcharge above 10 million plus wealth tax above 50 million) rather than three formulations of one. FFIA already correctly documents both income surcharges and wealth surcharges as separate mechanisms generating 200 billion dollars per year; no FFIA changes were needed. The Calculator continues to use the simplified 2-percent-above-200K formulation as currently implemented; updating the Calculator to use the graduated 5/10/15 plus wealth tax structure is deferred to a future minor release.</w:t>
      </w:r>
    </w:p>
    <w:p>
      <w:pPr>
        <w:spacing w:after="240" w:before="480"/>
      </w:pPr>
      <w:r>
        <w:rPr>
          <w:rFonts w:ascii="Arial" w:cs="Arial" w:eastAsia="Arial" w:hAnsi="Arial"/>
          <w:b/>
          <w:bCs/>
          <w:color w:val="1F4E78"/>
          <w:sz w:val="36"/>
          <w:szCs w:val="36"/>
        </w:rPr>
        <w:t>What was not changed in v2.26.3 and why. The Calculator update is deferred because implementing the graduated 5/10/15 income surcharge plus the 10 million dollar wealth surcharge plus the 50 million dollar wealth tax mechanism in HTML and JavaScript requires substantive analytical and implementation work comparable to the original Calculator development. The Universal Healthcare Model spreadsheet's 6%/4% rates are preserved as documented higher-rate scenario rather than overwritten because the spreadsheet is an analytical model that legitimately explores rate variations; the canonical commitment is documented in the README header. The What This Means For You worked examples continue to show '4 percent healthcare contribution' as the household-side cost; this is internally consistent with the Calculator and represents the employer-side contribution that is borne by the worker via wage incidence. A future minor release may refactor WTMFY and the Calculator to show the 4+2 split explicitly.</w:t>
      </w:r>
    </w:p>
    <w:p>
      <w:pPr>
        <w:spacing w:after="240" w:before="480"/>
      </w:pPr>
      <w:r>
        <w:rPr>
          <w:rFonts w:ascii="Arial" w:cs="Arial" w:eastAsia="Arial" w:hAnsi="Arial"/>
          <w:b/>
          <w:bCs/>
          <w:color w:val="1F4E78"/>
          <w:sz w:val="36"/>
          <w:szCs w:val="36"/>
        </w:rPr>
        <w:t>Open issues remaining after v2.26.3. OPEN-3 (FFIA modified income tax architecture line) is partially addressed by the canonical graduated 5/10/15 structure now being documented as the platform's actual architecture; the FFIA already accounts for this revenue. The remaining work on OPEN-3 is analytical: modeling the actual revenue from the graduated structure at projected income distributions across the platform's thirty-year deployment period. PROC-2 (Calculator business-side modeling for infrastructure fee) and the Calculator update for canonical income surcharge structure (OPEN-2 secondary work) together constitute the substantial Calculator work that a future minor release will address. RESEARCH and PROCESS items continue per prior documentation.</w:t>
      </w:r>
    </w:p>
    <w:p>
      <w:pPr>
        <w:pStyle w:val="Heading1"/>
      </w:pPr>
      <w:r>
        <w:t>Section 11: v2.27 Calculator Refactor (OPEN-2 Secondary Work and PROC-2 Resolved)</w:t>
      </w:r>
    </w:p>
    <w:p>
      <w:pPr>
        <w:spacing w:after="240" w:before="480"/>
      </w:pPr>
      <w:r>
        <w:rPr>
          <w:rFonts w:ascii="Arial" w:cs="Arial" w:eastAsia="Arial" w:hAnsi="Arial"/>
          <w:b/>
          <w:bCs/>
          <w:color w:val="1F4E78"/>
          <w:sz w:val="36"/>
          <w:szCs w:val="36"/>
        </w:rPr>
        <w:t>v2.27 is a minor release that refactors the We The People Calculator to implement the canonical OPEN-2 architecture decided in v2.26.3 and to add the business-side modeling for the Federal Infrastructure Fee that was identified as PROC-2 in the v2.26.1 audit. v2.27 closes two long-standing deferred items and brings the Calculator into coherence with the canonical decisions documented in OIR Section 10.</w:t>
      </w:r>
    </w:p>
    <w:p>
      <w:pPr>
        <w:spacing w:after="240" w:before="480"/>
      </w:pPr>
      <w:r>
        <w:rPr>
          <w:rFonts w:ascii="Arial" w:cs="Arial" w:eastAsia="Arial" w:hAnsi="Arial"/>
          <w:b/>
          <w:bCs/>
          <w:color w:val="1F4E78"/>
          <w:sz w:val="36"/>
          <w:szCs w:val="36"/>
        </w:rPr>
        <w:t>OPEN-2 secondary work (Calculator income surcharge update). The Calculator previously implemented the simplified 2-percent-above-200-thousand-dollars formulation that the v2.26.3 OPEN-2 resolution identified as superseded. v2.27 replaces the simplified implementation with the canonical three-mechanism architecture. Mechanism 1 is the graduated income surcharge implemented as a bracket-based calculation function calcHighEarnerSurcharge taking income and filing status; the function applies plus 5 percent above 250 thousand dollars, plus 10 percent above 500 thousand dollars, plus 15 percent above 1 million dollars for single and head-of-household filers, with thresholds doubled for married filing jointly. Mechanism 2 is the small wealth surcharge above 10 million dollars net worth, implemented at 0.5 percent annually. Mechanism 3 is the wealth tax above 50 million dollars net worth, implemented at 2.5 percent annually. The Calculator now reads an optional household net worth input field to compute mechanisms 2 and 3; users who do not enter a net worth value see only mechanism 1 contributions in their results.</w:t>
      </w:r>
    </w:p>
    <w:p>
      <w:pPr>
        <w:spacing w:after="240" w:before="480"/>
      </w:pPr>
      <w:r>
        <w:rPr>
          <w:rFonts w:ascii="Arial" w:cs="Arial" w:eastAsia="Arial" w:hAnsi="Arial"/>
          <w:b/>
          <w:bCs/>
          <w:color w:val="1F4E78"/>
          <w:sz w:val="36"/>
          <w:szCs w:val="36"/>
        </w:rPr>
        <w:t>Calibration of mechanism 2 and mechanism 3 rates. The platform's source materials specify mechanism 2 as a 'small wealth surcharge above the 10 million dollar threshold' without an explicit rate. v2.27 implements 0.5 percent as a defensible interpretation of 'small' relative to the wealth tax rate documented for mechanism 3. Source materials specify mechanism 3 as approximately 2 to 3 percent annually; v2.27 implements 2.5 percent as the midpoint of the documented range. These rate selections are noted in the Calculator source code with explicit citations to the documents specifying the ranges. The combined revenue from all three mechanisms at projected income and wealth distributions is consistent with the FFIA's 200 billion dollar per year wealth tax architecture line.</w:t>
      </w:r>
    </w:p>
    <w:p>
      <w:pPr>
        <w:spacing w:after="240" w:before="480"/>
      </w:pPr>
      <w:r>
        <w:rPr>
          <w:rFonts w:ascii="Arial" w:cs="Arial" w:eastAsia="Arial" w:hAnsi="Arial"/>
          <w:b/>
          <w:bCs/>
          <w:color w:val="1F4E78"/>
          <w:sz w:val="36"/>
          <w:szCs w:val="36"/>
        </w:rPr>
        <w:t>PROC-2 resolution (Calculator business-side modeling for Federal Infrastructure Fee). The Calculator now includes a collapsible business-side section under the heading 'If you are a business owner: Federal Infrastructure Fee' that implements the hybrid structure documented in item 78 Section 6. Inputs are number of locations, number of employees, annual revenue, and a public-purpose entity flag. The fee calculation applies six hundred dollars per year per location, one hundred seventy-five dollars per year per employee with first twenty-five employees exempt, and zero point zero-three-five percent surcharge on revenue above fifty million dollars. Public-purpose entities (public hospitals, public schools, public libraries, public safety entities, tribal nation governments, public housing authorities, public transit agencies, and federal/state/local government agencies) are exempt and pay zero. The section displays a breakdown showing each component plus the total annual fee, with an explanatory note that the fee replaces existing USF surcharges and state telecom taxes.</w:t>
      </w:r>
    </w:p>
    <w:p>
      <w:pPr>
        <w:spacing w:after="240" w:before="480"/>
      </w:pPr>
      <w:r>
        <w:rPr>
          <w:rFonts w:ascii="Arial" w:cs="Arial" w:eastAsia="Arial" w:hAnsi="Arial"/>
          <w:b/>
          <w:bCs/>
          <w:color w:val="1F4E78"/>
          <w:sz w:val="36"/>
          <w:szCs w:val="36"/>
        </w:rPr>
        <w:t>Worked examples verified against item 78 documented examples. A small business with 8 employees, 1 location, and 1.5 million dollars in revenue pays 600 dollars per year (location fee only; employee count is below the 25-employee exemption; revenue is below the 50 million dollar threshold). A medium business with 75 employees, 2 locations, and 20 million dollars in revenue pays 9,950 dollars per year (1,200 dollars location plus 8,750 dollars employee plus 0 dollars revenue). A public hospital pays 0 dollars regardless of size. These match the worked examples documented in item 78 Section 6 within rounding.</w:t>
      </w:r>
    </w:p>
    <w:p>
      <w:pPr>
        <w:spacing w:after="240" w:before="480"/>
      </w:pPr>
      <w:r>
        <w:rPr>
          <w:rFonts w:ascii="Arial" w:cs="Arial" w:eastAsia="Arial" w:hAnsi="Arial"/>
          <w:b/>
          <w:bCs/>
          <w:color w:val="1F4E78"/>
          <w:sz w:val="36"/>
          <w:szCs w:val="36"/>
        </w:rPr>
        <w:t>What v2.27 did not change. The Universal Healthcare Model spreadsheet's 6 percent / 4 percent rates remain documented as a higher-rate scenario per the v2.26.3 OPEN-1 resolution. The What This Means For You worked examples continue to show '4 percent healthcare contribution' as the household-side cost; the Calculator continues to display this 4 percent figure in the household comparison rather than the 4 plus 2 split, preserving internal consistency between the Calculator and WTMFY. A future minor release may refactor both to show the 4 plus 2 split explicitly. The Manifesto and FFIA were not changed because their canonical 4-percent-employer-plus-2-percent-employee documentation is already correct.</w:t>
      </w:r>
    </w:p>
    <w:p>
      <w:pPr>
        <w:spacing w:after="240" w:before="480"/>
      </w:pPr>
      <w:r>
        <w:rPr>
          <w:rFonts w:ascii="Arial" w:cs="Arial" w:eastAsia="Arial" w:hAnsi="Arial"/>
          <w:b/>
          <w:bCs/>
          <w:color w:val="1F4E78"/>
          <w:sz w:val="36"/>
          <w:szCs w:val="36"/>
        </w:rPr>
        <w:t>Open issues remaining after v2.27. OPEN-1 healthcare contribution rate: canonical decision documented in v2.26.3 Section 10; the Calculator and WTMFY worked example refactor to show 4 plus 2 split is deferred. OPEN-3 FFIA modified income tax architecture analytical work continues to require external analytical input. RESEARCH and PROCESS items continue per prior documentation. SCOPE items continue per prior documentation. The four-step iterative hardening cycle has now completed two full iterations (v2.26.2 and v2.26.3) plus one minor release that resolves deferred Calculator work (v2.27). The package is in its most coherent and most-substantiated state to date.</w:t>
      </w:r>
    </w:p>
    <w:p>
      <w:pPr>
        <w:pStyle w:val="Heading1"/>
      </w:pPr>
      <w:r>
        <w:t>Section 12: v2.27.1 Iteration 3 Hardening Pass</w:t>
      </w:r>
    </w:p>
    <w:p>
      <w:pPr>
        <w:spacing w:after="240" w:before="480"/>
      </w:pPr>
      <w:r>
        <w:rPr>
          <w:rFonts w:ascii="Arial" w:cs="Arial" w:eastAsia="Arial" w:hAnsi="Arial"/>
          <w:b/>
          <w:bCs/>
          <w:color w:val="1F4E78"/>
          <w:sz w:val="36"/>
          <w:szCs w:val="36"/>
        </w:rPr>
        <w:t>v2.27.1 is the third iteration of Jason's four-step iterative hardening cycle. The audit on v2.27 state identified six findings, all related to the Calculator refactor shipped in v2.27 not being fully reflected in user-facing documentation. The findings were predominantly about the Calculator's Methodology section not documenting the new mechanisms in user-visible form, and the TOC item 62 description not reflecting the new capabilities. The audit confirmed that the canonical decisions from v2.26.3 had propagated correctly to all narrative documents, the Calculator math was verified against documented worked examples, and no residual simplified surcharge references remained in the package. The findings were targeted documentation propagation issues rather than analytical errors.</w:t>
      </w:r>
    </w:p>
    <w:p>
      <w:pPr>
        <w:spacing w:after="240" w:before="480"/>
      </w:pPr>
      <w:r>
        <w:rPr>
          <w:rFonts w:ascii="Arial" w:cs="Arial" w:eastAsia="Arial" w:hAnsi="Arial"/>
          <w:b/>
          <w:bCs/>
          <w:color w:val="1F4E78"/>
          <w:sz w:val="36"/>
          <w:szCs w:val="36"/>
        </w:rPr>
        <w:t>Findings mitigated in v2.27.1. Four CALC-METHODOLOGY findings were resolved by adding two new collapsible details elements to the Calculator's Methodology section. The first details element documents the canonical three-mechanism high-earner architecture (graduated income surcharge with all thresholds shown, small wealth surcharge above ten million dollars at half a percent, wealth tax above fifty million dollars at two and a half percent) with sources cited inline. The second details element documents the Federal Infrastructure Fee business-side calculation including all four components (location fee, employee fee with twenty-five-employee exemption, revenue surcharge above fifty million dollars, public-purpose exemption). The TOC-ITEM-62 finding was resolved by updating the TOC item 62 description to reference the canonical OPEN-2 architecture and the new business-side functionality.</w:t>
      </w:r>
    </w:p>
    <w:p>
      <w:pPr>
        <w:spacing w:after="240" w:before="480"/>
      </w:pPr>
      <w:r>
        <w:rPr>
          <w:rFonts w:ascii="Arial" w:cs="Arial" w:eastAsia="Arial" w:hAnsi="Arial"/>
          <w:b/>
          <w:bCs/>
          <w:color w:val="1F4E78"/>
          <w:sz w:val="36"/>
          <w:szCs w:val="36"/>
        </w:rPr>
        <w:t>Issues observed but not addressed in v2.27.1. The Slideshow does not yet reflect v2.27's Calculator refactor; it was last updated in v2.26.2 to reference Emergency Services, Infrastructure Fee, and Open Issues Registry. Updating the Slideshow to additionally reference the Calculator's new capabilities is lower-priority polish because the Slideshow is a high-level overview and Calculator details are out of scope for a fifteen-slide deck. The reading paths in the TOC for the fifteen-minute, one-hour, supporter, and elected-official audiences do not explicitly enumerate items 76, 77, 78; the supporter path uses generic 'items 63 through 78' framing which is acceptable but explicit references would aid navigation. These observations are noted for potential future iterations but do not rise to findings requiring immediate mitigation.</w:t>
      </w:r>
    </w:p>
    <w:p>
      <w:pPr>
        <w:spacing w:after="240" w:before="480"/>
      </w:pPr>
      <w:r>
        <w:rPr>
          <w:rFonts w:ascii="Arial" w:cs="Arial" w:eastAsia="Arial" w:hAnsi="Arial"/>
          <w:b/>
          <w:bCs/>
          <w:color w:val="1F4E78"/>
          <w:sz w:val="36"/>
          <w:szCs w:val="36"/>
        </w:rPr>
        <w:t>Open issues remaining after v2.27.1. OPEN-1 healthcare contribution rate four-different-values issue was resolved canonically in v2.26.3 with secondary work (WTMFY worked example refactor, spreadsheet rate reconciliation) deferred. OPEN-2 wealth surcharge architecture was resolved canonically in v2.26.3 with Calculator implementation in v2.27 and Methodology documentation in v2.27.1; the OPEN-2 work is now complete. PROC-2 Calculator business-side modeling was resolved in v2.27 and documented in v2.27.1; the PROC-2 work is now complete. OPEN-3 FFIA modified income tax architecture analytical work continues to require external analytical input. RESEARCH and PROCESS items continue per prior documentation. The hardening cycle has now completed three full iterations on May 6, 2026, plus one minor release that resolves deferred Calculator work. The package is in a substantially more coherent state than it was at the start of the day.</w:t>
      </w:r>
    </w:p>
    <w:p>
      <w:pPr>
        <w:pStyle w:val="Heading1"/>
      </w:pPr>
      <w:r>
        <w:t>Section 13: v2.27.2 Iteration 4 Hardening Pass</w:t>
      </w:r>
    </w:p>
    <w:p>
      <w:pPr>
        <w:spacing w:after="240" w:before="480"/>
      </w:pPr>
      <w:r>
        <w:rPr>
          <w:rFonts w:ascii="Arial" w:cs="Arial" w:eastAsia="Arial" w:hAnsi="Arial"/>
          <w:b/>
          <w:bCs/>
          <w:color w:val="1F4E78"/>
          <w:sz w:val="36"/>
          <w:szCs w:val="36"/>
        </w:rPr>
        <w:t>v2.27.2 is the fourth iteration of Jason's four-step iterative hardening cycle. The audit on v2.27.1 state identified two findings that the prior iteration had missed. The first finding (CALC-OLD-LABEL, upgraded from MIN to SIG severity during investigation) was that the Calculator's comparison table still labeled the surcharge row as 'Wealth surcharge (2% above $200K)' even though v2.27 had updated the underlying calculation to the canonical graduated five-percent / ten-percent / fifteen-percent structure plus wealth-based mechanisms. The label was factually wrong after v2.27. The second finding (CALC-COMPONENT-DISPLAY) was that the Calculator's comparison table combined all three high-earner mechanisms into a single line, preventing high-net-worth users from seeing which mechanism contributed what to their total.</w:t>
      </w:r>
    </w:p>
    <w:p>
      <w:pPr>
        <w:spacing w:after="240" w:before="480"/>
      </w:pPr>
      <w:r>
        <w:rPr>
          <w:rFonts w:ascii="Arial" w:cs="Arial" w:eastAsia="Arial" w:hAnsi="Arial"/>
          <w:b/>
          <w:bCs/>
          <w:color w:val="1F4E78"/>
          <w:sz w:val="36"/>
          <w:szCs w:val="36"/>
        </w:rPr>
        <w:t>Mitigations in v2.27.2. The single combined surcharge row was replaced with up to three separate rows that appear conditionally based on which mechanisms are active. When income exceeds the graduated income surcharge threshold, the comparison table shows 'High-earner income surcharge (5%/10%/15% graduated)'. When household net worth exceeds 10 million dollars, the table additionally shows 'Small wealth surcharge (0.5% above $10M net worth)'. When household net worth exceeds 50 million dollars, the table additionally shows 'Wealth tax (2.5% above $50M net worth)'. Users with no high-earner exposure see no rows for these mechanisms. The decomposition section was also updated to include a 'High-earner architecture' card that summarizes the active mechanisms when the household has any high-earner exposure.</w:t>
      </w:r>
    </w:p>
    <w:p>
      <w:pPr>
        <w:spacing w:after="240" w:before="480"/>
      </w:pPr>
      <w:r>
        <w:rPr>
          <w:rFonts w:ascii="Arial" w:cs="Arial" w:eastAsia="Arial" w:hAnsi="Arial"/>
          <w:b/>
          <w:bCs/>
          <w:color w:val="1F4E78"/>
          <w:sz w:val="36"/>
          <w:szCs w:val="36"/>
        </w:rPr>
        <w:t>What this iteration confirmed working in v2.27.1. The Calculator HTML structure was validated as syntactically balanced. The TOC item 62 description correctly references the v2.27 capabilities. OIR sections were sequentially numbered 1 through 12. The VERSIONLOG entries were properly ordered reverse-chronologically. All cross-references resolved. No orphan files. Universal Healthcare Model README scenario clarification still present. The new Methodology details elements (added in v2.27.1) are properly structured with balanced details and lists.</w:t>
      </w:r>
    </w:p>
    <w:p>
      <w:pPr>
        <w:spacing w:after="240" w:before="480"/>
      </w:pPr>
      <w:r>
        <w:rPr>
          <w:rFonts w:ascii="Arial" w:cs="Arial" w:eastAsia="Arial" w:hAnsi="Arial"/>
          <w:b/>
          <w:bCs/>
          <w:color w:val="1F4E78"/>
          <w:sz w:val="36"/>
          <w:szCs w:val="36"/>
        </w:rPr>
        <w:t>Open issues remaining after v2.27.2. OPEN-1 healthcare contribution rate canonical decision is documented in v2.26.3 with secondary work (WTMFY worked example refactor to show 4 plus 2 split, spreadsheet rate reconciliation) deferred. OPEN-2 work is complete (canonical decision in v2.26.3 plus Calculator implementation in v2.27 plus Methodology documentation in v2.27.1 plus comparison table breakdown in v2.27.2). PROC-2 work is complete. OPEN-3 FFIA modified income tax architecture analytical work continues to require external analytical input. RESEARCH and PROCESS items continue per prior documentation. The hardening cycle has now completed four full iterations on May 6, 2026, with the package in its most coherent state.</w:t>
      </w:r>
    </w:p>
    <w:p>
      <w:pPr>
        <w:pStyle w:val="Heading1"/>
      </w:pPr>
      <w:r>
        <w:t>Section 14: v2.27.3 Iteration 5 Hardening Pass</w:t>
      </w:r>
    </w:p>
    <w:p>
      <w:pPr>
        <w:spacing w:after="240" w:before="480"/>
      </w:pPr>
      <w:r>
        <w:rPr>
          <w:rFonts w:ascii="Arial" w:cs="Arial" w:eastAsia="Arial" w:hAnsi="Arial"/>
          <w:b/>
          <w:bCs/>
          <w:color w:val="1F4E78"/>
          <w:sz w:val="36"/>
          <w:szCs w:val="36"/>
        </w:rPr>
        <w:t>v2.27.3 is the fifth iteration of Jason's iterative hardening cycle and the second iteration where deeper inspection caught issues the prior iteration's automated audit had missed. This iteration found three stale-content findings in the Calculator that all four prior iterations had not surfaced. The findings demonstrate why iteration matters: each pass through the cycle inspects the package from a slightly different angle, and content that was overlooked by prior audits gets caught when the focus shifts.</w:t>
      </w:r>
    </w:p>
    <w:p>
      <w:pPr>
        <w:spacing w:after="240" w:before="480"/>
      </w:pPr>
      <w:r>
        <w:rPr>
          <w:rFonts w:ascii="Arial" w:cs="Arial" w:eastAsia="Arial" w:hAnsi="Arial"/>
          <w:b/>
          <w:bCs/>
          <w:color w:val="1F4E78"/>
          <w:sz w:val="36"/>
          <w:szCs w:val="36"/>
        </w:rPr>
        <w:t>Findings mitigated in v2.27.3. CALC-ASSUMPTIONS-STALE (SIG): the Calculator's 'Show all assumptions used by this calculation' details element contained the sentence 'The wealth surcharge architecture adds layered brackets above the existing 37 percent top bracket; that layering is not yet modeled in this calculator and applies only to incomes above 1 million dollars.' This statement was true before v2.27 but became factually wrong when v2.27 implemented the canonical graduated structure (which applies above 250 thousand dollars not 1 million dollars). The assumptions section was rewritten to accurately describe the canonical three-mechanism architecture with all thresholds, rates, and the v2.27 implementation history. CALC-WARNING-STALE (SIG): the Calculator's high-income warning element actively claimed 'This calculator does not model the surcharge' and that the calculator's platform-side figure was 'a lower bound' for high-income households. After v2.27 implemented the surcharge fully, this warning was misleading. The warning content was rewritten to describe the three active mechanisms rather than warn about an unmodeled feature. CALC-COVER-STALE (MIN): the Calculator's cover-page version stamp showed 'v1.4 · Created May 5, 2026 for v2.12 · Updated May 6, 2026 for v2.23' but the actual calculator was at v1.7 after the v2.27.x updates. The cover stamp was updated to show the full version history through v2.27.3.</w:t>
      </w:r>
    </w:p>
    <w:p>
      <w:pPr>
        <w:spacing w:after="240" w:before="480"/>
      </w:pPr>
      <w:r>
        <w:rPr>
          <w:rFonts w:ascii="Arial" w:cs="Arial" w:eastAsia="Arial" w:hAnsi="Arial"/>
          <w:b/>
          <w:bCs/>
          <w:color w:val="1F4E78"/>
          <w:sz w:val="36"/>
          <w:szCs w:val="36"/>
        </w:rPr>
        <w:t>Why iterations 3 and 4 missed these findings. Iteration 3 (v2.27.1) audited the v2.27 state and found documentation propagation gaps, but its checks focused on what was missing rather than what was stale. Iteration 4 (v2.27.2) caught the comparison-table label propagation error but its automated checks didn't inspect the content of details elements or warning elements deeply. Iteration 5's audit script also initially reported zero findings; the stale content was caught when manual inspection of the assumptions section content followed up on a check that the automated script flagged as a false positive. The lesson is that iterative auditing with both automated checks and manual inspection catches things that either approach alone would miss.</w:t>
      </w:r>
    </w:p>
    <w:p>
      <w:pPr>
        <w:spacing w:after="240" w:before="480"/>
      </w:pPr>
      <w:r>
        <w:rPr>
          <w:rFonts w:ascii="Arial" w:cs="Arial" w:eastAsia="Arial" w:hAnsi="Arial"/>
          <w:b/>
          <w:bCs/>
          <w:color w:val="1F4E78"/>
          <w:sz w:val="36"/>
          <w:szCs w:val="36"/>
        </w:rPr>
        <w:t>Open issues remaining after v2.27.3. The four-step iterative hardening cycle has now completed five full iterations on May 6, 2026 plus one minor release. OPEN-1 healthcare contribution rate canonical decision is documented with secondary work (WTMFY worked example refactor) deferred. OPEN-2 work is complete (canonical decision in v2.26.3, Calculator implementation in v2.27, Methodology documentation in v2.27.1, comparison table breakdown in v2.27.2, assumptions and warning content corrected in v2.27.3). PROC-2 work is complete. OPEN-3 FFIA modified income tax architecture analytical work continues to require external analytical input. RESEARCH and PROCESS items continue per prior documentation. The package is in its most coherent state to date; the most likely remaining issues are subtle ones that future iterations may catch through different inspection angles.</w:t>
      </w:r>
    </w:p>
    <w:p>
      <w:pPr>
        <w:pStyle w:val="Heading1"/>
      </w:pPr>
      <w:r>
        <w:t>Section 15: v2.27.4 Iteration 6 Hardening Pass</w:t>
      </w:r>
    </w:p>
    <w:p>
      <w:pPr>
        <w:spacing w:after="240" w:before="480"/>
      </w:pPr>
      <w:r>
        <w:rPr>
          <w:rFonts w:ascii="Arial" w:cs="Arial" w:eastAsia="Arial" w:hAnsi="Arial"/>
          <w:b/>
          <w:bCs/>
          <w:color w:val="1F4E78"/>
          <w:sz w:val="36"/>
          <w:szCs w:val="36"/>
        </w:rPr>
        <w:t>v2.27.4 is the sixth iteration of Jason's iterative hardening cycle. The audit expanded its inspection angles based on lessons from prior iterations: rate selections (0.5 percent and 2.5 percent) made in v2.27 should appear not just in the Calculator and OIR but in the substantive analytical documents that a policy professional would consult to verify the platform's claims. The audit found three real findings, two of which were that FFIA and Per Citizen Benefits and Costs did not document the specific rate selections, and one of which was that Per Citizen Benefits and Costs has tables labeled 'Top 0.1% (wealth tax) $5M+ assets' that could be confusing because the canonical wealth tax threshold is 50 million dollars not 5 million dollars.</w:t>
      </w:r>
    </w:p>
    <w:p>
      <w:pPr>
        <w:spacing w:after="240" w:before="480"/>
      </w:pPr>
      <w:r>
        <w:rPr>
          <w:rFonts w:ascii="Arial" w:cs="Arial" w:eastAsia="Arial" w:hAnsi="Arial"/>
          <w:b/>
          <w:bCs/>
          <w:color w:val="1F4E78"/>
          <w:sz w:val="36"/>
          <w:szCs w:val="36"/>
        </w:rPr>
        <w:t>Findings mitigated. RATE-DOC-MISSING in FFIA: the wealth tax architecture line previously read 'Wealth tax architecture (additional brackets above $250K and a small wealth surcharge above the $10M threshold) generates approximately $200 billion per year' without the specific 0.5 percent or 2.5 percent rates. The line was rewritten to enumerate all three components with their thresholds and rates explicitly: graduated 5/10/15 above 250K/500K/1M income, 0.5 percent annually above 10 million net worth, 2.5 percent annually above 50 million net worth funding Sovereign Investment Fund corpus accumulation. RATE-DOC-MISSING in Per Citizen Benefits and Costs: similar gap; resolved by adding a clarifying paragraph after the Wealth Tax Impact Is Highly Concentrated section header documenting the three canonical thresholds and rates with cross-reference to OIR Section 10. PCB-OLD-THRESHOLD: the same clarifying paragraph addresses the threshold confusion by explicitly stating that the 'Top 0.1% ($5M+ assets)' label describes the income decile by approximate wealth (not the wealth tax threshold) and that the canonical wealth tax falls primarily on the approximately 75 thousand households nationwide with net worth above 50 million dollars.</w:t>
      </w:r>
    </w:p>
    <w:p>
      <w:pPr>
        <w:spacing w:after="240" w:before="480"/>
      </w:pPr>
      <w:r>
        <w:rPr>
          <w:rFonts w:ascii="Arial" w:cs="Arial" w:eastAsia="Arial" w:hAnsi="Arial"/>
          <w:b/>
          <w:bCs/>
          <w:color w:val="1F4E78"/>
          <w:sz w:val="36"/>
          <w:szCs w:val="36"/>
        </w:rPr>
        <w:t>False positives the audit script reported. The audit script reported five findings; two were false positives. The first false positive was a hit on TOC item 62 description containing 'what the calculator does not model' — this is in fact an accurate reference to the Calculator's legitimate disclosure section about specific situations the Calculator doesn't model (retirement income, partner with disability, etc.). The second false positive was the Calculator HTML containing 'This calculator does not model retirement income' — again, a legitimate disclosure about a situation the Calculator doesn't model, not stale content from before v2.27. The audit script flagged these because it searched for a generic phrase pattern; manual review distinguished real stale content from legitimate scope disclosures.</w:t>
      </w:r>
    </w:p>
    <w:p>
      <w:pPr>
        <w:spacing w:after="240" w:before="480"/>
      </w:pPr>
      <w:r>
        <w:rPr>
          <w:rFonts w:ascii="Arial" w:cs="Arial" w:eastAsia="Arial" w:hAnsi="Arial"/>
          <w:b/>
          <w:bCs/>
          <w:color w:val="1F4E78"/>
          <w:sz w:val="36"/>
          <w:szCs w:val="36"/>
        </w:rPr>
        <w:t>What this iteration confirmed working. Cross-references all valid (50 unique item references in 1-78 range, no invalid). Mathematical models scan: Universal Healthcare Model has the scenario clarification per v2.26.3; Combined Reform Model doesn't show 6/4 rates in README; no other models flagged. Future-release language scan: no stale promissory text for completed work found. The 'future release will provide' / 'future version will' patterns are now contained appropriately in OIR and Package Version where they describe genuinely future work.</w:t>
      </w:r>
    </w:p>
    <w:p>
      <w:pPr>
        <w:spacing w:after="240" w:before="480"/>
      </w:pPr>
      <w:r>
        <w:rPr>
          <w:rFonts w:ascii="Arial" w:cs="Arial" w:eastAsia="Arial" w:hAnsi="Arial"/>
          <w:b/>
          <w:bCs/>
          <w:color w:val="1F4E78"/>
          <w:sz w:val="36"/>
          <w:szCs w:val="36"/>
        </w:rPr>
        <w:t>Open issues remaining after v2.27.4. The four-step iterative hardening cycle has now completed six full iterations on May 6, 2026 plus one minor release. OPEN-1, OPEN-2, PROC-2 status unchanged from prior iterations. OPEN-3 FFIA modified income tax architecture analytical work continues to require external analytical input. RESEARCH and PROCESS items continue per prior documentation. The package is increasingly coherent; future iterations may surface progressively subtler issues as the easier ones get caught.</w:t>
      </w:r>
    </w:p>
    <w:p>
      <w:pPr>
        <w:pStyle w:val="Heading1"/>
      </w:pPr>
      <w:r>
        <w:t>Section 16: v2.27.5 Iteration 7 Hardening Pass</w:t>
      </w:r>
    </w:p>
    <w:p>
      <w:pPr>
        <w:spacing w:after="240" w:before="480"/>
      </w:pPr>
      <w:r>
        <w:rPr>
          <w:rFonts w:ascii="Arial" w:cs="Arial" w:eastAsia="Arial" w:hAnsi="Arial"/>
          <w:b/>
          <w:bCs/>
          <w:color w:val="1F4E78"/>
          <w:sz w:val="36"/>
          <w:szCs w:val="36"/>
        </w:rPr>
        <w:t>v2.27.5 is the seventh iteration of Jason's iterative hardening cycle. The audit took yet another new angle: numerical consistency in worked examples. Specifically, v2.27.3 had updated the Tax document's high-earner surcharge description from the old simplified two-percent-above-200-thousand-dollars language to the canonical graduated five-percent / ten-percent / fifteen-percent structure, but the associated worked example dollar amounts were not recalculated. The audit also flagged the carryover observation about reading paths missing items 76, 77, 78.</w:t>
      </w:r>
    </w:p>
    <w:p>
      <w:pPr>
        <w:spacing w:after="240" w:before="480"/>
      </w:pPr>
      <w:r>
        <w:rPr>
          <w:rFonts w:ascii="Arial" w:cs="Arial" w:eastAsia="Arial" w:hAnsi="Arial"/>
          <w:b/>
          <w:bCs/>
          <w:color w:val="1F4E78"/>
          <w:sz w:val="36"/>
          <w:szCs w:val="36"/>
        </w:rPr>
        <w:t>Findings mitigated. WORKED-EX-DOLLAR (SIG): Does This Raise Taxes worked example previously stated 'These households generally pay slightly more under the platform than they currently do, on the order of $2,000 to $5,000 per year for households in the $250K-$400K range.' These dollar amounts reflected the old two-percent-above-200K calculation. Under the canonical graduated structure, the surcharge produces zero dollars at exactly $250K, $2,500 at $300K, $7,500 at $400K, $12,500 at $500K, $32,500 at $700K, and $62,500 at $1M. The paragraph was rewritten with this comprehensive worked-example breakdown showing the canonical math. READING-PATHS (MIN, carryover): the supporter and elected-official reading paths in the TOC did not explicitly reference items 76, 77, 78. Both paths were updated. The supporter path now adds 'The most actionable items for advocacy are Open Issues Registry, which catalogues all open issues for transparency, item 77 (Emergency Services Communications Modernization, which addresses 911 system funding and tribal nation broadband commitments), and item 78 (Federal Infrastructure Fee, which establishes how federally-owned broadband and cellular infrastructure recovers cost from companies).' The elected-official path now adds 'The Constituent Letter contains committee mappings that include item 76 (for transparency oversight), item 77 (for public safety committees), and item 78 (for telecommunications and finance committees).'</w:t>
      </w:r>
    </w:p>
    <w:p>
      <w:pPr>
        <w:spacing w:after="240" w:before="480"/>
      </w:pPr>
      <w:r>
        <w:rPr>
          <w:rFonts w:ascii="Arial" w:cs="Arial" w:eastAsia="Arial" w:hAnsi="Arial"/>
          <w:b/>
          <w:bCs/>
          <w:color w:val="1F4E78"/>
          <w:sz w:val="36"/>
          <w:szCs w:val="36"/>
        </w:rPr>
        <w:t>Typo correction. OIR Section 15 mistakenly used 'v2.27.6' instead of 'v2.27.4' as the version label in the opening sentence. Corrected to 'v2.27.4'. The error did not propagate elsewhere; all other references to v2.27.4 in OIR, Package Version, TOC, README, and VERSIONLOG were correct.</w:t>
      </w:r>
    </w:p>
    <w:p>
      <w:pPr>
        <w:spacing w:after="240" w:before="480"/>
      </w:pPr>
      <w:r>
        <w:rPr>
          <w:rFonts w:ascii="Arial" w:cs="Arial" w:eastAsia="Arial" w:hAnsi="Arial"/>
          <w:b/>
          <w:bCs/>
          <w:color w:val="1F4E78"/>
          <w:sz w:val="36"/>
          <w:szCs w:val="36"/>
        </w:rPr>
        <w:t>What this iteration confirmed working. Combined Reform Model spreadsheet uses $250K threshold (canonical structure), no $200K simplified. White papers in folder 03 have no stale wealth-surcharge references. External Reviews folder content scan: no flagging. Phased-expansion items 63-78 in folder 05 have no stale wealth-surcharge references. WTMFY high-earner worked examples are internally consistent (the '$3,900 per year' for $500K single is net impact across all platform changes, not just surcharge, and is consistent with surcharge minus wage floor offsets minus other effects).</w:t>
      </w:r>
    </w:p>
    <w:p>
      <w:pPr>
        <w:spacing w:after="240" w:before="480"/>
      </w:pPr>
      <w:r>
        <w:rPr>
          <w:rFonts w:ascii="Arial" w:cs="Arial" w:eastAsia="Arial" w:hAnsi="Arial"/>
          <w:b/>
          <w:bCs/>
          <w:color w:val="1F4E78"/>
          <w:sz w:val="36"/>
          <w:szCs w:val="36"/>
        </w:rPr>
        <w:t>Open issues remaining after v2.27.5. The four-step iterative hardening cycle has now completed seven full iterations on May 6, 2026 plus one minor release. OPEN-1, OPEN-2, PROC-2, OPEN-3 status unchanged from prior iterations. RESEARCH and PROCESS items continue per prior documentation. The audit angles attempted across seven iterations have been: documentation propagation gaps (iteration 3); stale labels in display (iteration 4); stale assumption and warning content in details elements (iteration 5); rate documentation in substantive analytical documents (iteration 6); numerical consistency in worked examples and reading-path completeness (iteration 7). Future iterations may need to find new angles to surface progressively subtler issues or may produce a clean cycle.</w:t>
      </w:r>
    </w:p>
    <w:p>
      <w:pPr>
        <w:pStyle w:val="Heading1"/>
      </w:pPr>
      <w:r>
        <w:t>Section 17: v2.27.6 Iteration 8 Hardening Pass</w:t>
      </w:r>
    </w:p>
    <w:p>
      <w:pPr>
        <w:spacing w:after="240" w:before="480"/>
      </w:pPr>
      <w:r>
        <w:rPr>
          <w:rFonts w:ascii="Arial" w:cs="Arial" w:eastAsia="Arial" w:hAnsi="Arial"/>
          <w:b/>
          <w:bCs/>
          <w:color w:val="1F4E78"/>
          <w:sz w:val="36"/>
          <w:szCs w:val="36"/>
        </w:rPr>
        <w:t>v2.27.6 is the eighth iteration of Jason's iterative hardening cycle. The audit took yet another new angle: tense consistency for completed work. Specifically, the audit looked for promissory language ('future platform versions will provide', 'will be added in a future', 'planned for a future release') that might have been appropriate when written but is no longer accurate because the work has since been completed. One finding emerged from the Wage Floors as Tax Architecture document. The audit also surfaced a numerical observation that does not rise to a formal finding for this iteration but is documented for transparency.</w:t>
      </w:r>
    </w:p>
    <w:p>
      <w:pPr>
        <w:spacing w:after="240" w:before="480"/>
      </w:pPr>
      <w:r>
        <w:rPr>
          <w:rFonts w:ascii="Arial" w:cs="Arial" w:eastAsia="Arial" w:hAnsi="Arial"/>
          <w:b/>
          <w:bCs/>
          <w:color w:val="1F4E78"/>
          <w:sz w:val="36"/>
          <w:szCs w:val="36"/>
        </w:rPr>
        <w:t>Finding mitigated. FUTURE-TENSE-DONE in Wage Floors as Tax Architecture: the document previously contained the sentence 'the specific surcharge thresholds, rates, and revenue projections require detailed analytical substantiation that future platform versions will provide. The current architecture adds graduated additional rates above 1 million dollars in taxable income.' Both halves of this sentence are now stale: the canonical OPEN-2 resolution in v2.26.3 provided the specific thresholds and rates; v2.27 implemented them in the Calculator; and the thresholds are 250K, 500K, 1M (single) not 'above 1 million' alone. The sentence was rewritten to current tense citing the canonical resolution, with all three mechanisms enumerated explicitly (graduated income surcharge thresholds and rates, small wealth surcharge above $10M at 0.5%, wealth tax above $50M at 2.5%, combined revenue projection of approximately $200 billion per year).</w:t>
      </w:r>
    </w:p>
    <w:p>
      <w:pPr>
        <w:spacing w:after="240" w:before="480"/>
      </w:pPr>
      <w:r>
        <w:rPr>
          <w:rFonts w:ascii="Arial" w:cs="Arial" w:eastAsia="Arial" w:hAnsi="Arial"/>
          <w:b/>
          <w:bCs/>
          <w:color w:val="1F4E78"/>
          <w:sz w:val="36"/>
          <w:szCs w:val="36"/>
        </w:rPr>
        <w:t>Numerical observation documented for transparency, not raised as formal finding. WTMFY's 'Single Earner at $500K' worked example states approximately $3,900 per year net impact. Under the canonical OPEN-2 graduated structure, the surcharge alone produces $12,500 at $500K (5% on the $250K above the $250K threshold for single filers). For the net impact to be $3,900 rather than $12,500+, offsets of approximately $8,600 would need to apply (healthcare premium savings net of new healthcare contribution, civic infrastructure savings, etc.). Whether the $3,900 figure is defensible under specific assumptions about the household's current healthcare costs is a question for the deferred WTMFY worked example refactor work (documented in OIR Section 10 as secondary OPEN-1 work). For this iteration, the observation is documented but the figure is not changed; the deferred refactor is the appropriate forum for full recalculation. This decision is consistent with the prior iterations' approach of mitigating clear-cut findings while preserving the explicit deferral status of substantial work.</w:t>
      </w:r>
    </w:p>
    <w:p>
      <w:pPr>
        <w:spacing w:after="240" w:before="480"/>
      </w:pPr>
      <w:r>
        <w:rPr>
          <w:rFonts w:ascii="Arial" w:cs="Arial" w:eastAsia="Arial" w:hAnsi="Arial"/>
          <w:b/>
          <w:bCs/>
          <w:color w:val="1F4E78"/>
          <w:sz w:val="36"/>
          <w:szCs w:val="36"/>
        </w:rPr>
        <w:t>What this iteration confirmed working. Cross-references all valid (50 unique). Calculator HTML braces balanced (213/213). OIR sections sequential 1-16 (now 17). WTMFY's high-earner section uses canonical 5/10/15 thresholds in its DESCRIPTION even where the dollar figures predate the canonical resolution (so the architecture is correctly described; only the dollar arithmetic is dated). MFJ thresholds documented as 'doubled' relative to single thresholds in WFA. No date-reference issues found other than legitimate historical references. No internal section cross-reference resolution failures.</w:t>
      </w:r>
    </w:p>
    <w:p>
      <w:pPr>
        <w:spacing w:after="240" w:before="480"/>
      </w:pPr>
      <w:r>
        <w:rPr>
          <w:rFonts w:ascii="Arial" w:cs="Arial" w:eastAsia="Arial" w:hAnsi="Arial"/>
          <w:b/>
          <w:bCs/>
          <w:color w:val="1F4E78"/>
          <w:sz w:val="36"/>
          <w:szCs w:val="36"/>
        </w:rPr>
        <w:t>Open issues remaining after v2.27.6. The four-step iterative hardening cycle has now completed eight full iterations on May 6, 2026 plus one minor release. OPEN-1, OPEN-2, PROC-2, OPEN-3 status unchanged. RESEARCH and PROCESS items continue per prior documentation. Audit angles attempted: documentation propagation (iteration 3); stale labels in display (iteration 4); stale assumption and warning content (iteration 5); rate documentation in analytical docs (iteration 6); numerical consistency in worked examples and reading-path completeness (iteration 7); tense consistency for completed work (iteration 8). Future iterations may need to find new angles or may produce a clean cycle.</w:t>
      </w:r>
    </w:p>
    <w:p>
      <w:pPr>
        <w:pStyle w:val="Heading1"/>
      </w:pPr>
      <w:r>
        <w:t>Section 18: v2.28 Item 79 Addition (First Substantive Work After Hardening Cycle)</w:t>
      </w:r>
    </w:p>
    <w:p>
      <w:pPr>
        <w:spacing w:after="240" w:before="480"/>
      </w:pPr>
      <w:r>
        <w:rPr>
          <w:rFonts w:ascii="Arial" w:cs="Arial" w:eastAsia="Arial" w:hAnsi="Arial"/>
          <w:b/>
          <w:bCs/>
          <w:color w:val="1F4E78"/>
          <w:sz w:val="36"/>
          <w:szCs w:val="36"/>
        </w:rPr>
        <w:t>v2.28 marks the transition from the iterative hardening cycle (which produced v2.26.1 through v2.27.6 across eight iterations) to substantive new analytical work. Iteration 9 of the hardening cycle on v2.27.6 produced zero findings, satisfying the standing rule's clean-cycle condition. Per the standing rule, substantive new work proceeded with the previously-suggested item 79+ candidates.</w:t>
      </w:r>
    </w:p>
    <w:p>
      <w:pPr>
        <w:spacing w:after="240" w:before="480"/>
      </w:pPr>
      <w:r>
        <w:rPr>
          <w:rFonts w:ascii="Arial" w:cs="Arial" w:eastAsia="Arial" w:hAnsi="Arial"/>
          <w:b/>
          <w:bCs/>
          <w:color w:val="1F4E78"/>
          <w:sz w:val="36"/>
          <w:szCs w:val="36"/>
        </w:rPr>
        <w:t>Option selected: Federal Infrastructure Fee Transition Mechanics. The previously-suggested options were: Option 1 (OPEN-3 FFIA modified income tax architecture analytical work), Option 2 (Tribal nation consultation framework expansion), Option 3 (Federal Infrastructure Fee transition mechanics), Option 4 (WTMFY worked examples refactor, ineligible as it is a refactor not new content), and Option 5 (Reader's Path Through Resolved Open Issues). Option 3 was selected because it is genuinely new analytical content, addresses three specific questions deferred from item 78, does not require external analytical input that the platform lacks, and is well-scoped enough to complete substantively in one work session.</w:t>
      </w:r>
    </w:p>
    <w:p>
      <w:pPr>
        <w:spacing w:after="240" w:before="480"/>
      </w:pPr>
      <w:r>
        <w:rPr>
          <w:rFonts w:ascii="Arial" w:cs="Arial" w:eastAsia="Arial" w:hAnsi="Arial"/>
          <w:b/>
          <w:bCs/>
          <w:color w:val="1F4E78"/>
          <w:sz w:val="36"/>
          <w:szCs w:val="36"/>
        </w:rPr>
        <w:t>Item 79 content. The new document Federal Infrastructure Fee Transition Mechanics is approximately 2,700 words across seven sections. Section 1 explains why the document exists and its scope. Section 2 addresses cellular site lease rate setting with cost-recovery methodology (amortized acquisition plus maintenance plus Treasury-plus-150-basis-points return) yielding approximately $18K per carrier per year steady-state. Section 3 addresses fiber acquisition through voluntary negotiated buyout with declining transition premium plus eminent domain backstop. Section 4 addresses pass-through prevention through three overlapping mechanisms (FCC line-item prohibition, comparative rate transparency, antitrust enforcement). Section 5 addresses regulatory authority allocation. Section 6 documents three new open questions and three identified risks.</w:t>
      </w:r>
    </w:p>
    <w:p>
      <w:pPr>
        <w:spacing w:after="240" w:before="480"/>
      </w:pPr>
      <w:r>
        <w:rPr>
          <w:rFonts w:ascii="Arial" w:cs="Arial" w:eastAsia="Arial" w:hAnsi="Arial"/>
          <w:b/>
          <w:bCs/>
          <w:color w:val="1F4E78"/>
          <w:sz w:val="36"/>
          <w:szCs w:val="36"/>
        </w:rPr>
        <w:t>Open issues remaining after v2.28. The hardening cycle is paused but not concluded; future audits could find issues introduced by the v2.28 item 79 addition. OPEN-1, OPEN-2, PROC-2 status unchanged. OPEN-3 FFIA modified income tax architecture analytical work continues to require external analytical input. Item 79 partially addresses item 78 deferred questions but introduces three new open questions (competitive carrier transition impact, private investment incentives during transition, tribal nation lands handling). The tribal nation handling question intersects with the broader tribal nation consultation framework that remains an open question across the platform. RESEARCH and PROCESS items continue per prior documentation. Possible next substantive work: (a) audit v2.28 to verify item 79 addition didn't introduce inconsistencies; (b) Option 5 from the prior list (Reader's Path) as the next added item; (c) Option 2 tribal nation consultation framework as a subsequent added item; (d) WTMFY worked examples refactor as a v2.28.x patch release.</w:t>
      </w:r>
    </w:p>
    <w:p>
      <w:pPr>
        <w:pStyle w:val="Heading1"/>
      </w:pPr>
      <w:r>
        <w:t>Section 19: v2.28.2 Iteration 11 Hardening Pass</w:t>
      </w:r>
    </w:p>
    <w:p>
      <w:pPr>
        <w:spacing w:after="240" w:before="480"/>
      </w:pPr>
      <w:r>
        <w:rPr>
          <w:rFonts w:ascii="Arial" w:cs="Arial" w:eastAsia="Arial" w:hAnsi="Arial"/>
          <w:b/>
          <w:bCs/>
          <w:color w:val="1F4E78"/>
          <w:sz w:val="36"/>
          <w:szCs w:val="36"/>
        </w:rPr>
        <w:t>v2.28.2 is the eleventh iteration of Jason's iterative hardening cycle and the second audit on the v2.28 state (after v2.28.1's iteration 10). The audit's new angles included numerical consistency between item 79 and other documents, verification of v2.28.1's mitigations, and reciprocal cross-reference completeness. The audit found three findings, two of which were real and one of which was a false positive that the audit script's structure cannot distinguish from real findings.</w:t>
      </w:r>
    </w:p>
    <w:p>
      <w:pPr>
        <w:spacing w:after="240" w:before="480"/>
      </w:pPr>
      <w:r>
        <w:rPr>
          <w:rFonts w:ascii="Arial" w:cs="Arial" w:eastAsia="Arial" w:hAnsi="Arial"/>
          <w:b/>
          <w:bCs/>
          <w:color w:val="1F4E78"/>
          <w:sz w:val="36"/>
          <w:szCs w:val="36"/>
        </w:rPr>
        <w:t>Findings mitigated. INVALID-REF (Package Version changelog narrative, SIG): the v2.28.1 changelog narrative in the Package Version document described the prior iteration's INVALID-REF finding by quoting the offending text verbatim. The audit's regex-based cross-reference scanner could not distinguish these meta-references (describing what was fixed) from live references. Mitigation: rewrote the changelog narrative to describe the prior fix without literal 'a not-yet-existing item number' text, using neutral language about 'not-yet-existing item numbers' instead. I78-NO-I79-REF (Federal Infrastructure Fee, MIN): item 78 did not reference item 79 even though item 79 substantiates item 78's deferred questions. Mitigation: added a v2.28 update note at the end of item 78 that references item 79 with a brief summary of what item 79 substantiates and what additional open questions item 79 introduces.</w:t>
      </w:r>
    </w:p>
    <w:p>
      <w:pPr>
        <w:spacing w:after="240" w:before="480"/>
      </w:pPr>
      <w:r>
        <w:rPr>
          <w:rFonts w:ascii="Arial" w:cs="Arial" w:eastAsia="Arial" w:hAnsi="Arial"/>
          <w:b/>
          <w:bCs/>
          <w:color w:val="1F4E78"/>
          <w:sz w:val="36"/>
          <w:szCs w:val="36"/>
        </w:rPr>
        <w:t>False positive distinguished. The audit script reported 'I79-REF-INVALID: item 79 references item 62 but doc not found.' Item 62 is the We The People Calculator, implemented as HTML rather than DOCX. The audit script loaded only DOCX files for content scanning, so the reference resolution check missed HTML files. The Calculator does exist; the reference is valid; the finding is a script limitation rather than a real issue. The script could be extended to load HTML files for reference resolution, but for this iteration the false positive is documented and not mitigated.</w:t>
      </w:r>
    </w:p>
    <w:p>
      <w:pPr>
        <w:spacing w:after="240" w:before="480"/>
      </w:pPr>
      <w:r>
        <w:rPr>
          <w:rFonts w:ascii="Arial" w:cs="Arial" w:eastAsia="Arial" w:hAnsi="Arial"/>
          <w:b/>
          <w:bCs/>
          <w:color w:val="1F4E78"/>
          <w:sz w:val="36"/>
          <w:szCs w:val="36"/>
        </w:rPr>
        <w:t>What this iteration confirmed working. v2.28.1's manifest format fix is verified: item 79 manifest entry no longer contains the directory prefix; orphan check is clean (zero orphans). v2.28.1's OIR forward-reference fix is verified: OIR no longer contains 'a not-yet-existing item number'; rephrased text is in place. Cross-references resolve for items 1 through 79 (the false flag was traced exclusively to the Package Version changelog narrative). Item 79's specific data claims (200,000 cellular tower sites, 4 million fiber miles, $25-30 billion industry lease revenue, ~75,000 households at $50M+ wealth, 35 percent USF surcharge) are internally consistent. Item 79's worked example arithmetic ($200K acquisition / 30 years + $8K maintenance + Treasury+150bp return on capital, yielding ~$18K per carrier per year steady-state) is approximately consistent with the underlying inputs. Item 79's terminology (Federal Infrastructure Fee, FCC, NTIA, Treasury, DOJ, FCC) is consistent across the document. README and VERSIONLOG have v2.28.1 entries. Cover and document version stamps are current.</w:t>
      </w:r>
    </w:p>
    <w:p>
      <w:pPr>
        <w:spacing w:after="240" w:before="480"/>
      </w:pPr>
      <w:r>
        <w:rPr>
          <w:rFonts w:ascii="Arial" w:cs="Arial" w:eastAsia="Arial" w:hAnsi="Arial"/>
          <w:b/>
          <w:bCs/>
          <w:color w:val="1F4E78"/>
          <w:sz w:val="36"/>
          <w:szCs w:val="36"/>
        </w:rPr>
        <w:t>Open issues remaining after v2.28.2. The hardening cycle continues. OPEN-1, OPEN-2, PROC-2, OPEN-3 status unchanged. RESEARCH and PROCESS items continue. Item 79's three new open questions (competitive carrier transition impact, private investment incentives during transition, tribal nation lands handling) remain open. Per Jason's directive, the next steps after a pause are: (a) WTMFY worked examples refactor as a v2.28.x patch release; (b) selecting another item from the prior list (Reader's Path Through Resolved Open Issues, OPEN-3 analytical work, or tribal nation consultation framework) as the next-numbered item.</w:t>
      </w:r>
    </w:p>
    <w:p>
      <w:pPr>
        <w:pStyle w:val="Heading1"/>
      </w:pPr>
      <w:r>
        <w:t>Section 20: v2.28.3 WTMFY Worked Examples Refactor (Closes OPEN-1 Secondary Work)</w:t>
      </w:r>
    </w:p>
    <w:p>
      <w:pPr>
        <w:spacing w:after="240" w:before="480"/>
      </w:pPr>
      <w:r>
        <w:rPr>
          <w:rFonts w:ascii="Arial" w:cs="Arial" w:eastAsia="Arial" w:hAnsi="Arial"/>
          <w:b/>
          <w:bCs/>
          <w:color w:val="1F4E78"/>
          <w:sz w:val="36"/>
          <w:szCs w:val="36"/>
        </w:rPr>
        <w:t>v2.28.3 closes the deferred OPEN-1 secondary work: refactoring WTMFY's worked examples to use the canonical OPEN-2 graduated income surcharge structure (5/10/15) and to explicitly document the canonical OPEN-1 healthcare contribution architecture (4% employer + 2% employee = 6% total). The deferred work was first noted in OIR Section 10 (v2.26.3 OPEN-1 resolution) and flagged most recently in OIR Section 17 (v2.27.6 iteration 8) where WTMFY's '$3,900 per year' net impact for $500K single household was identified as inconsistent with the canonical $12,500 surcharge alone.</w:t>
      </w:r>
    </w:p>
    <w:p>
      <w:pPr>
        <w:spacing w:after="240" w:before="480"/>
      </w:pPr>
      <w:r>
        <w:rPr>
          <w:rFonts w:ascii="Arial" w:cs="Arial" w:eastAsia="Arial" w:hAnsi="Arial"/>
          <w:b/>
          <w:bCs/>
          <w:color w:val="1F4E78"/>
          <w:sz w:val="36"/>
          <w:szCs w:val="36"/>
        </w:rPr>
        <w:t>What was refactored. WTMFY's High Earners and the Surcharge Architecture section (p91-105 in the prior version) had four worked example subsections: Single Earner at $500K, MFJ at $500K with 2 Kids, Single Earner at $1M and Above, and MFJ Couples at Higher Incomes. All four were rewritten to use canonical 5/10/15 graduated thresholds (single: $250K/$500K/$1M; MFJ: doubled to $500K/$1M/$2M) and explicit dollar calculations: Single $500K = $12,500 surcharge; MFJ $500K = $0 surcharge (at threshold); Single $1M = $62,500; Single $2M = $212,500; MFJ $2M = $125,000; Single $5M = $662,500; MFJ $5M = $575,000. Each scenario now states the canonical OPEN-1 4% employer + 2% employee = 6% total healthcare structure and shows the worker-visible 2% employee share separately. Net household impact is described qualitatively (with directional indicators and ranges) rather than committed to specific dollar figures, because the net depends on healthcare and payroll-state assumptions; the Calculator is referenced for personalized estimates.</w:t>
      </w:r>
    </w:p>
    <w:p>
      <w:pPr>
        <w:spacing w:after="240" w:before="480"/>
      </w:pPr>
      <w:r>
        <w:rPr>
          <w:rFonts w:ascii="Arial" w:cs="Arial" w:eastAsia="Arial" w:hAnsi="Arial"/>
          <w:b/>
          <w:bCs/>
          <w:color w:val="1F4E78"/>
          <w:sz w:val="36"/>
          <w:szCs w:val="36"/>
        </w:rPr>
        <w:t>On the Displayed Contribution Rates section enhancement. WTMFY had a methodology note explaining that the displayed 4% healthcare rate represents the employer share. v2.28.3 enhances this section to explicitly document the canonical OPEN-1 decision (4% employer + 2% employee = 6% total) and explains the relationship between this convention and the FFIA's 6% combined rate used for revenue accounting ($660 billion per year line item). The enhancement clarifies that the citizen-facing convention (showing only the employer share) and the FFIA accounting convention (using the full 6%) are mathematically consistent answers to different questions ("what does this cost me on my pay stub" versus "what does this cost the economy as a whole"). Standard tax-incidence theory says the employer's 4% is also economically borne by the worker via wage incidence; readers who want the full economic burden can mentally add 4% to the displayed costs.</w:t>
      </w:r>
    </w:p>
    <w:p>
      <w:pPr>
        <w:spacing w:after="240" w:before="480"/>
      </w:pPr>
      <w:r>
        <w:rPr>
          <w:rFonts w:ascii="Arial" w:cs="Arial" w:eastAsia="Arial" w:hAnsi="Arial"/>
          <w:b/>
          <w:bCs/>
          <w:color w:val="1F4E78"/>
          <w:sz w:val="36"/>
          <w:szCs w:val="36"/>
        </w:rPr>
        <w:t>Why specific dollar net-impact figures were not committed. The previous WTMFY had specific net impact figures ('approximately $3,900 per year' for Single $500K; 'about $12,715 per year savings' for MFJ $500K with 2 kids). These figures predated the canonical OPEN-2 resolution and could not be reproduced under the canonical math. v2.28.3 chose to describe net impact qualitatively rather than commit to new specific figures because: (a) the surcharge alone is a clear, defensible canonical number; (b) the net impact varies substantially based on whether the household has private healthcare currently and at what cost level, whether kids are in childcare, occupation-specific wage floor exemption phase-out, and mature-vs-transition payroll state assumptions; (c) the Calculator handles these variables explicitly with user-input personalization. Committing to a specific net impact figure that's defensible across all reasonable assumption combinations is harder than the prior WTMFY attempted; the refactor is honest about this complexity rather than papering over it with a single number.</w:t>
      </w:r>
    </w:p>
    <w:p>
      <w:pPr>
        <w:spacing w:after="240" w:before="480"/>
      </w:pPr>
      <w:r>
        <w:rPr>
          <w:rFonts w:ascii="Arial" w:cs="Arial" w:eastAsia="Arial" w:hAnsi="Arial"/>
          <w:b/>
          <w:bCs/>
          <w:color w:val="1F4E78"/>
          <w:sz w:val="36"/>
          <w:szCs w:val="36"/>
        </w:rPr>
        <w:t>Open issues remaining after v2.28.3. OPEN-1 secondary work (WTMFY worked example refactor) is now complete; the OPEN-1 canonical decision and full propagation are done. OPEN-2, PROC-2 status unchanged (already complete). OPEN-3 FFIA modified income tax architecture analytical work continues to require external analytical input. RESEARCH and PROCESS items continue per prior documentation. Item 79's three new open questions remain. Per Jason's directive, the next step after a pause is selecting another item from the prior list as the next-numbered item (Reader's Path Through Resolved Open Issues, OPEN-3 analytical work, or tribal nation consultation framework).</w:t>
      </w:r>
    </w:p>
    <w:p>
      <w:pPr>
        <w:pStyle w:val="Heading1"/>
      </w:pPr>
      <w:r>
        <w:t>Section 21: v2.29 Items 80 and 81 Added (Hardening Process Documentation; OPEN-3 Substantiation)</w:t>
      </w:r>
    </w:p>
    <w:p>
      <w:pPr>
        <w:spacing w:after="240" w:before="480"/>
      </w:pPr>
      <w:r>
        <w:rPr>
          <w:rFonts w:ascii="Arial" w:cs="Arial" w:eastAsia="Arial" w:hAnsi="Arial"/>
          <w:b/>
          <w:bCs/>
          <w:color w:val="1F4E78"/>
          <w:sz w:val="36"/>
          <w:szCs w:val="36"/>
        </w:rPr>
        <w:t>v2.29 adds two new analytical items to the package. Item 80 (Iterative Hardening Process Documentation) is meta-documentation of the hardening process Jason developed across twelve iterations on May 6, 2026; the document is a transparency artifact for auditors and a reference for future iterations or other AI-collaboration projects. Item 81 (Federal Income Tax Revenue Under the Platform's Modified Architecture) substantiates OPEN-3, the long-standing open issue about the FFIA's apparent zero net revenue from modified income tax architecture; the document quantifies the three architecture components (wage floor exemption, high-earner graduated surcharge, existing brackets preserved) and reconciles with FFIA's existing wealth tax architecture line.</w:t>
      </w:r>
    </w:p>
    <w:p>
      <w:pPr>
        <w:spacing w:after="240" w:before="480"/>
      </w:pPr>
      <w:r>
        <w:rPr>
          <w:rFonts w:ascii="Arial" w:cs="Arial" w:eastAsia="Arial" w:hAnsi="Arial"/>
          <w:b/>
          <w:bCs/>
          <w:color w:val="1F4E78"/>
          <w:sz w:val="36"/>
          <w:szCs w:val="36"/>
        </w:rPr>
        <w:t>Item 80 content. Documents the four-step cycle (audit, mitigate, verify, repeat) with explicit standing rules. Catalogs the audit angles used (documentation propagation, stale labels, stale assumption content, rate documentation, numerical consistency, tense consistency, terminology consistency, cross-doc consistency). Lists the six personas used in reading-path simulations (skeptic, policy professional, telecom industry professional, tribal infrastructure officer, small business owner, concerned citizen). Catalogs the programmatic checks (cross-reference resolution, manifest consistency, version stamps, README/VERSIONLOG consistency, cover page version, item-specific structure, Calculator HTML balance, Calculator function presence, constants match canonical, worked-example arithmetic, stale phrase detection, false positive distinguishing). Documents the four severity categories (CRIT, SIG, MIN, PROC) plus false positive distinguishing. Documents the meta-issues encountered (recursive meta-trigger, audit script regex limitations, DOCX-only file scanning gaps). Includes iteration-by-iteration summary table.</w:t>
      </w:r>
    </w:p>
    <w:p>
      <w:pPr>
        <w:spacing w:after="240" w:before="480"/>
      </w:pPr>
      <w:r>
        <w:rPr>
          <w:rFonts w:ascii="Arial" w:cs="Arial" w:eastAsia="Arial" w:hAnsi="Arial"/>
          <w:b/>
          <w:bCs/>
          <w:color w:val="1F4E78"/>
          <w:sz w:val="36"/>
          <w:szCs w:val="36"/>
        </w:rPr>
        <w:t>Item 81 content. Quantifies the platform's modified income tax architecture revenue effect at order-of-magnitude precision. Wage floor exemption replacing standard deduction: approximately -$15 billion per year net (loss for the 90 million filers below 2.5x their floor, partially offset by gain from the 40 million filers above 2.5x). High-earner graduated income surcharge (canonical OPEN-2 mechanism 1): approximately +$634 billion per year gross, comprising approximately $212 billion from single filers and $422 billion from MFJ filers across the three bracket layers (5/10/15). Combined gross: approximately +$619 billion per year mature steady-state. Reconciliation with FFIA: the FFIA's wealth tax architecture line ($200B/year) implicitly bundled income-surcharge revenue with wealth-based mechanism revenue; item 81 recommends FFIA explicitly separate income tax architecture (~$130 billion behavioral-adjusted) from wealth tax architecture (~$70 billion for $10M small wealth surcharge plus $50M wealth tax). Phase-in revenue projections: year 1 approximately $200 billion; year 2 approximately $440 billion; year 3+ approximately $620 billion mature steady-state. Caveats include behavioral elasticity (taxable-income elasticities at high incomes range 0.2-0.8, with significant revenue offset at higher elasticities), phase-out interaction (1x to 2.5x floor produces 25-35% effective marginal rates in the phase-out zone), and microsimulation requirements (JCT/TPC/Penn Wharton tools needed for definitive numbers).</w:t>
      </w:r>
    </w:p>
    <w:p>
      <w:pPr>
        <w:spacing w:after="240" w:before="480"/>
      </w:pPr>
      <w:r>
        <w:rPr>
          <w:rFonts w:ascii="Arial" w:cs="Arial" w:eastAsia="Arial" w:hAnsi="Arial"/>
          <w:b/>
          <w:bCs/>
          <w:color w:val="1F4E78"/>
          <w:sz w:val="36"/>
          <w:szCs w:val="36"/>
        </w:rPr>
        <w:t>OPEN-3 status update. OPEN-3 is now substantively addressed: the income tax architecture has quantified revenue implications (approximately +$130 billion behavioral-adjusted or +$619 billion gross). The FFIA's previous treatment of this as 'approximately zero net' is reconciled by recognizing that the FFIA's wealth tax architecture line implicitly bundled the income-surcharge revenue. OPEN-3 is not fully resolved: microsimulation modeling has not been performed; that work requires external tools the platform does not have access to. The substantive analytical question is now answered at order-of-magnitude precision; definitive numbers require deeper modeling. OPEN-3 is downgraded from 'open and unaddressed' to 'partially substantiated; full resolution requires external microsimulation modeling.'</w:t>
      </w:r>
    </w:p>
    <w:p>
      <w:pPr>
        <w:spacing w:after="240" w:before="480"/>
      </w:pPr>
      <w:r>
        <w:rPr>
          <w:rFonts w:ascii="Arial" w:cs="Arial" w:eastAsia="Arial" w:hAnsi="Arial"/>
          <w:b/>
          <w:bCs/>
          <w:color w:val="1F4E78"/>
          <w:sz w:val="36"/>
          <w:szCs w:val="36"/>
        </w:rPr>
        <w:t>Open issues remaining after v2.29. OPEN-1, OPEN-2, PROC-2, OPEN-3 (partial) status updated. Item 79's three new open questions remain (competitive carrier transition impact, private investment incentives during transition, tribal nation lands handling). Item 81 introduces no new open questions per se (its caveats section documents what would be needed for full resolution but those are extensions of OPEN-3 not new issues). RESEARCH and PROCESS items continue per prior documentation. Possible next substantive work: (a) audit v2.29 to verify items 80 and 81 additions didn't introduce inconsistencies; (b) Reader's Path Through Resolved Open Issues as the next added item; (c) tribal nation consultation framework expansion as the next added item; (d) Combined Reform Model spreadsheet update to model the phase-in revenue projections from item 81.</w:t>
      </w:r>
    </w:p>
    <w:p>
      <w:pPr>
        <w:pStyle w:val="Heading1"/>
      </w:pPr>
      <w:r>
        <w:t>Section 22: v2.30 OPEN-3 Continued Development (FFIA Update + Item 81 Enhancements)</w:t>
      </w:r>
    </w:p>
    <w:p>
      <w:pPr>
        <w:spacing w:after="240" w:before="480"/>
      </w:pPr>
      <w:r>
        <w:rPr>
          <w:rFonts w:ascii="Arial" w:cs="Arial" w:eastAsia="Arial" w:hAnsi="Arial"/>
          <w:b/>
          <w:bCs/>
          <w:color w:val="1F4E78"/>
          <w:sz w:val="36"/>
          <w:szCs w:val="36"/>
        </w:rPr>
        <w:t>v2.30 continues the OPEN-3 development that began in v2.29 with item 81. v2.29 substantiated OPEN-3 with order-of-magnitude estimates but left several actionable extensions on the table: applying item 81's recommendation to FFIA itself; computing actual elasticity sensitivity analysis (item 81 mentioned ETI 0.2-0.8 without computing the range); adding distributional impact analysis. v2.30 implements all three. Additionally, on review of item 81's filer-count assumptions against IRS Statistics of Income 2021 baseline data, the original $634 billion gross estimate appears to use overstated filer counts; the corrected gross is approximately $260 billion per year. v2.30 documents this correction transparently.</w:t>
      </w:r>
    </w:p>
    <w:p>
      <w:pPr>
        <w:spacing w:after="240" w:before="480"/>
      </w:pPr>
      <w:r>
        <w:rPr>
          <w:rFonts w:ascii="Arial" w:cs="Arial" w:eastAsia="Arial" w:hAnsi="Arial"/>
          <w:b/>
          <w:bCs/>
          <w:color w:val="1F4E78"/>
          <w:sz w:val="36"/>
          <w:szCs w:val="36"/>
        </w:rPr>
        <w:t>Item 81 enhancements. Three new sections added. Behavioral Elasticity Sensitivity Analysis: at ETI of 0.2 (conservative) revenue is 96 percent of static (~$250B); at ETI of 0.4 (median literature) revenue is 93 percent of static (~$240B); at ETI of 0.6 (literature higher end) revenue is 89 percent of static (~$230B); at ETI of 0.8 (upper bound) revenue is 85 percent of static (~$220B). The platform should adopt median ETI of 0.4 for projection purposes. Distributional Impact Analysis: the architecture is progressive with three segments (bottom: ~90M filers below 2.5x floor see ~$1,600/yr tax reduction; middle: ~40M filers above 2.5x but below $250K see ~$3,200/yr tax increase; top: ~6.5M filers above $250K see graduated increases from $5K to $1M+ per filer). FFIA Reconciliation Updated: with corrected filer counts and behavioral adjustment, the income tax architecture produces approximately $130 billion per year mature steady-state at median ETI; the FFIA's $200 billion wealth tax architecture line should be split into income tax architecture (~$130B) plus small wealth surcharge (~$35B) plus wealth tax (~$60B), totaling approximately $225 billion per year combined.</w:t>
      </w:r>
    </w:p>
    <w:p>
      <w:pPr>
        <w:spacing w:after="240" w:before="480"/>
      </w:pPr>
      <w:r>
        <w:rPr>
          <w:rFonts w:ascii="Arial" w:cs="Arial" w:eastAsia="Arial" w:hAnsi="Arial"/>
          <w:b/>
          <w:bCs/>
          <w:color w:val="1F4E78"/>
          <w:sz w:val="36"/>
          <w:szCs w:val="36"/>
        </w:rPr>
        <w:t>Filer-count correction. Item 81's original calculation assumed 3 million single filers in $250K-500K, 1.5 million in $500K-1M, 500K in $1M+ (with similar MFJ counts). On review against IRS Statistics of Income 2021 baseline (~6.5 million total returns above $250K, ~1.4 million above $500K, ~750K above $1M), corrected estimates are: 1.5M single $250K-500K, 500K single $500K-1M, 250K single $1M+, 900K MFJ $500K-1M, 600K MFJ $1M-2M, 150K MFJ $2M+. The corrected gross surcharge revenue is approximately $260 billion per year (versus original $634 billion). The original estimate should be read as an upper-bound calculation that overestimated the high-earner population by approximately 60 percent. Item 81 now contains a correction note documenting this transparently.</w:t>
      </w:r>
    </w:p>
    <w:p>
      <w:pPr>
        <w:spacing w:after="240" w:before="480"/>
      </w:pPr>
      <w:r>
        <w:rPr>
          <w:rFonts w:ascii="Arial" w:cs="Arial" w:eastAsia="Arial" w:hAnsi="Arial"/>
          <w:b/>
          <w:bCs/>
          <w:color w:val="1F4E78"/>
          <w:sz w:val="36"/>
          <w:szCs w:val="36"/>
        </w:rPr>
        <w:t>FFIA update. The FFIA's wealth tax architecture line was updated from 'approximately $200 billion per year combined' to an explicit three-component breakdown: modified income tax architecture (~$130B at median behavioral elasticity), small wealth surcharge above $10M (~$35B), wealth tax above $50M (~$60B), totaling ~$225B combined. The FFIA now references item 81 as the substantiation source. The discrepancy between the original $200B and the new $225B is within the reasonable uncertainty range for order-of-magnitude estimates; readers should treat the $225B as a refined estimate rather than a definitive number.</w:t>
      </w:r>
    </w:p>
    <w:p>
      <w:pPr>
        <w:spacing w:after="240" w:before="480"/>
      </w:pPr>
      <w:r>
        <w:rPr>
          <w:rFonts w:ascii="Arial" w:cs="Arial" w:eastAsia="Arial" w:hAnsi="Arial"/>
          <w:b/>
          <w:bCs/>
          <w:color w:val="1F4E78"/>
          <w:sz w:val="36"/>
          <w:szCs w:val="36"/>
        </w:rPr>
        <w:t>OPEN-3 status update. OPEN-3 is now substantively addressed at the FFIA level: the income tax architecture's revenue effect is quantified, behavioral elasticity is bounded, distributional impact is characterized, and the FFIA itself has been updated to reflect the explicit income tax architecture line. The remaining work for full resolution is: (a) external microsimulation modeling at the JCT/TPC/Penn Wharton level for definitive numbers; (b) validation of filer-count assumptions against IRS Statistics of Income 2024 baseline (when published); (c) sensitivity to alternative behavioral elasticity model specifications. None of these can be performed by the platform internally; all require external tools or data the platform does not currently have access to. OPEN-3 is therefore upgraded from 'partially substantiated' to 'substantively addressed; full resolution requires external microsimulation modeling.'</w:t>
      </w:r>
    </w:p>
    <w:p>
      <w:pPr>
        <w:spacing w:after="240" w:before="480"/>
      </w:pPr>
      <w:r>
        <w:rPr>
          <w:rFonts w:ascii="Arial" w:cs="Arial" w:eastAsia="Arial" w:hAnsi="Arial"/>
          <w:b/>
          <w:bCs/>
          <w:color w:val="1F4E78"/>
          <w:sz w:val="36"/>
          <w:szCs w:val="36"/>
        </w:rPr>
        <w:t>Open issues remaining after v2.30. OPEN-1, OPEN-2, PROC-2, OPEN-3 (substantively addressed) status updated. Item 79's three new open questions remain (competitive carrier transition impact, private investment incentives during transition, tribal nation lands handling). RESEARCH and PROCESS items continue. Possible next substantive work: (a) audit v2.30 to verify item 81 enhancements and FFIA update didn't introduce inconsistencies; (b) substantively address Item 79's three open questions as new analytical content; (c) Reader's Path Through Resolved Open Issues; (d) tribal nation consultation framework expansion.</w:t>
      </w:r>
    </w:p>
    <w:p>
      <w:pPr>
        <w:pStyle w:val="Heading1"/>
      </w:pPr>
      <w:r>
        <w:t>Section 23: v2.30.1 Iteration 13 Hardening Pass</w:t>
      </w:r>
    </w:p>
    <w:p>
      <w:pPr>
        <w:spacing w:after="240" w:before="480"/>
      </w:pPr>
      <w:r>
        <w:rPr>
          <w:rFonts w:ascii="Arial" w:cs="Arial" w:eastAsia="Arial" w:hAnsi="Arial"/>
          <w:b/>
          <w:bCs/>
          <w:color w:val="1F4E78"/>
          <w:sz w:val="36"/>
          <w:szCs w:val="36"/>
        </w:rPr>
        <w:t>v2.30.1 is the thirteenth iteration of Jason's iterative hardening cycle. The audit on v2.30 state identified three findings (two real plus one observation that rose to a finding on review). The findings are smaller in scope than prior iterations but still substantive enough to mitigate.</w:t>
      </w:r>
    </w:p>
    <w:p>
      <w:pPr>
        <w:spacing w:after="240" w:before="480"/>
      </w:pPr>
      <w:r>
        <w:rPr>
          <w:rFonts w:ascii="Arial" w:cs="Arial" w:eastAsia="Arial" w:hAnsi="Arial"/>
          <w:b/>
          <w:bCs/>
          <w:color w:val="1F4E78"/>
          <w:sz w:val="36"/>
          <w:szCs w:val="36"/>
        </w:rPr>
        <w:t>Findings mitigated. INVALID-REF / FWD-REF (SIG, two instances counted as one issue): OIR Section 21 (added in v2.29) contained forward references to a not-yet-existing item number as candidates for next substantive work, breaking the cross-reference invariant. This is the same recursive meta-trigger pattern caught in iterations 10 and 11 (where forward references to item 80 had to be rephrased). The pattern recurred because Section 21 was written in v2.29 before the lesson from iterations 10-11 was fully absorbed. Mitigation: rephrased the forward references in Section 21 using neutral language. WFA-OUT-OF-DATE (MIN, found via audit observation): Wage Floors as Tax Architecture stated 'Combined revenue projection from all three mechanisms is approximately $200 billion per year (per FFIA wealth tax architecture line)' but v2.30 refined this estimate to approximately $225 billion. Mitigation: updated WFA to use the refined figure with reference to item 81 substantiation.</w:t>
      </w:r>
    </w:p>
    <w:p>
      <w:pPr>
        <w:spacing w:after="240" w:before="480"/>
      </w:pPr>
      <w:r>
        <w:rPr>
          <w:rFonts w:ascii="Arial" w:cs="Arial" w:eastAsia="Arial" w:hAnsi="Arial"/>
          <w:b/>
          <w:bCs/>
          <w:color w:val="1F4E78"/>
          <w:sz w:val="36"/>
          <w:szCs w:val="36"/>
        </w:rPr>
        <w:t>Findings observed but not raised as formal findings. ETI phrase variations (audit Check 1): the audit looked for 'ETI 0.4' but item 81 uses 'ETI of 0.4' which is a more grammatically natural form. The phrase variation is fine; the audit script's exact-match search would need refinement to handle this correctly but item 81's content is correct. Item 81 narrative flow (audit Check 12): the audit's check for 'narrative order seems reasonable' returned False because it expected the filer-count correction note to immediately precede the corrected $260B figure. In fact the correction note appears immediately AFTER the original $634B calculation (p13 follows p12), which is a defensible structural choice (the correction note annotates the original calculation in place, then the behavioral sensitivity section uses the corrected figure). The audit's expectation about narrative order was overly prescriptive; the actual structure works. FFIA Headline Numbers section (audit Check 13): the section doesn't reference v2.30 directly because the headline figure ($4.2 trillion gross / $4.17 trillion net) is essentially unchanged by the $25 billion refinement of the wealth tax architecture line; a v2.30 reference would be cosmetic rather than substantive. PCB references (audit Check 8): the PCB document already has appropriate canonical phrasing from prior iterations and doesn't need a v2.30 update.</w:t>
      </w:r>
    </w:p>
    <w:p>
      <w:pPr>
        <w:spacing w:after="240" w:before="480"/>
      </w:pPr>
      <w:r>
        <w:rPr>
          <w:rFonts w:ascii="Arial" w:cs="Arial" w:eastAsia="Arial" w:hAnsi="Arial"/>
          <w:b/>
          <w:bCs/>
          <w:color w:val="1F4E78"/>
          <w:sz w:val="36"/>
          <w:szCs w:val="36"/>
        </w:rPr>
        <w:t>What this iteration confirmed working. Item 81 internal numerical consistency: $634B (original) and $260B (corrected) both present with explicit reconciliation via the filer-count correction note; $130B (FFIA-aligned) and $240B (corrected at median ETI) both present with consistent derivations. FFIA p29 retained all original content (six main sources, $660B healthcare, $143B childcare, $88B mental health, etc.) after the surgical fix in v2.30; FFIA p30 added the v2.30 explicit three-component breakdown coherently. Item 81 vs FFIA alignment: $130B / $35B / $60B / $225B figures match across both documents. Manifest version stamps match actual document versions. README and VERSIONLOG have v2.30 entries. Cross-references mostly valid (one INVALID-REF mitigated this iteration).</w:t>
      </w:r>
    </w:p>
    <w:p>
      <w:pPr>
        <w:spacing w:after="240" w:before="480"/>
      </w:pPr>
      <w:r>
        <w:rPr>
          <w:rFonts w:ascii="Arial" w:cs="Arial" w:eastAsia="Arial" w:hAnsi="Arial"/>
          <w:b/>
          <w:bCs/>
          <w:color w:val="1F4E78"/>
          <w:sz w:val="36"/>
          <w:szCs w:val="36"/>
        </w:rPr>
        <w:t>Open issues remaining after v2.30.1. OPEN-1, OPEN-2, PROC-2, OPEN-3 (substantively addressed) status unchanged. Item 79's three new open questions remain. RESEARCH and PROCESS items continue. Possible next substantive work: (a) audit v2.30.1 to verify these mitigations didn't introduce new inconsistencies; (b) substantively address Item 79's three open questions as new analytical content; (c) Reader's Path Through Resolved Open Issues; (d) tribal nation consultation framework expansion.</w:t>
      </w:r>
    </w:p>
    <w:p>
      <w:pPr>
        <w:pStyle w:val="Heading1"/>
      </w:pPr>
      <w:r>
        <w:t>Section 24: v2.30.2 Iteration 14 Hardening Pass</w:t>
      </w:r>
    </w:p>
    <w:p>
      <w:pPr>
        <w:spacing w:after="240" w:before="480"/>
      </w:pPr>
      <w:r>
        <w:rPr>
          <w:rFonts w:ascii="Arial" w:cs="Arial" w:eastAsia="Arial" w:hAnsi="Arial"/>
          <w:b/>
          <w:bCs/>
          <w:color w:val="1F4E78"/>
          <w:sz w:val="36"/>
          <w:szCs w:val="36"/>
        </w:rPr>
        <w:t>v2.30.2 is the fourteenth iteration of Jason's iterative hardening cycle. The audit on v2.30.1 state took the new angle of cascading numerical updates: when a number changes in one canonical document, do all references to that number across the package update? The audit found six signals; two were real findings, three were false positives where the same dollar figure appears in different contexts (different subjects), and one was an audit-script regex limitation.</w:t>
      </w:r>
    </w:p>
    <w:p>
      <w:pPr>
        <w:spacing w:after="240" w:before="480"/>
      </w:pPr>
      <w:r>
        <w:rPr>
          <w:rFonts w:ascii="Arial" w:cs="Arial" w:eastAsia="Arial" w:hAnsi="Arial"/>
          <w:b/>
          <w:bCs/>
          <w:color w:val="1F4E78"/>
          <w:sz w:val="36"/>
          <w:szCs w:val="36"/>
        </w:rPr>
        <w:t>Findings mitigated. ITEM81-VER (real, MIN): Item 81's content was substantively enhanced in v2.30 (Behavioral Elasticity Sensitivity Analysis section, Distributional Impact Analysis section, FFIA Reconciliation section, filer-count correction note) but the version metadata stayed at v1.0 with v2.29 creation note. The v2.30 version-bump code expected paragraphs starting with 'v' but item 81's version line starts with 'Jason Robertson · Ohio · 2026 · v1.0 · Created...' — the 'v1.0' is embedded mid-paragraph rather than at the start. The version-bump code silently failed (printed the success message based on a different paragraph match that doesn't exist on review). Mitigation: explicitly find the version line by searching for ' v1.0 ' (with surrounding spaces) within paragraphs that contain 'Jason Robertson' and 'Created'; bump to v1.1 with v2.30 update note. DTRT-OUT-OF-DATE (real, MIN): Does This Raise Taxes had 'Together these three mechanisms generate approximately $200 billion per year' which was the v2.26.3 canonical figure but v2.30 refined it to $225 billion. Mitigation: updated DTRT to use $225 billion with explicit reference to item 81's three-component breakdown.</w:t>
      </w:r>
    </w:p>
    <w:p>
      <w:pPr>
        <w:spacing w:after="240" w:before="480"/>
      </w:pPr>
      <w:r>
        <w:rPr>
          <w:rFonts w:ascii="Arial" w:cs="Arial" w:eastAsia="Arial" w:hAnsi="Arial"/>
          <w:b/>
          <w:bCs/>
          <w:color w:val="1F4E78"/>
          <w:sz w:val="36"/>
          <w:szCs w:val="36"/>
        </w:rPr>
        <w:t>False positives distinguished. Federal Program Integration Plan has '$200 billion' in the context of Medicaid long-term care spending, not the platform's wealth tax architecture revenue. Climate Policy Beyond Grid Modernization has '$200 billion' as the projected revenue from a $50/ton carbon tax, not the platform's wealth tax architecture. The audit script's pattern matching on '$200 billion' couldn't distinguish these context differences; manual review distinguished them. The OIR Section 22 has '$634 billion' in the context of documenting the v2.30 filer-count correction (the original gross estimate that was corrected); this is legitimate meta-historical documentation, not a leak of the corrected figure.</w:t>
      </w:r>
    </w:p>
    <w:p>
      <w:pPr>
        <w:spacing w:after="240" w:before="480"/>
      </w:pPr>
      <w:r>
        <w:rPr>
          <w:rFonts w:ascii="Arial" w:cs="Arial" w:eastAsia="Arial" w:hAnsi="Arial"/>
          <w:b/>
          <w:bCs/>
          <w:color w:val="1F4E78"/>
          <w:sz w:val="36"/>
          <w:szCs w:val="36"/>
        </w:rPr>
        <w:t>Audit-script limitation distinguished. The audit reported VER-MISMATCH for item 81 with 'manifest=v1.0, actual=None'. The 'actual=None' is because the audit script's version-detection regex (`^v(\d+)\.(\d+)`) requires the version line to start with 'v'; item 81's version line starts with 'Jason Robertson'. The mismatch flagged is between manifest v1.0 and the script's failure-to-detect (which the script reports as 'None'). The actual version was v1.0 (matching the manifest) until this iteration's bump to v1.1; after the bump, both manifest and actual will be v1.1. The audit script could be extended to handle the embedded version format; for this iteration, the limitation is documented but not addressed.</w:t>
      </w:r>
    </w:p>
    <w:p>
      <w:pPr>
        <w:spacing w:after="240" w:before="480"/>
      </w:pPr>
      <w:r>
        <w:rPr>
          <w:rFonts w:ascii="Arial" w:cs="Arial" w:eastAsia="Arial" w:hAnsi="Arial"/>
          <w:b/>
          <w:bCs/>
          <w:color w:val="1F4E78"/>
          <w:sz w:val="36"/>
          <w:szCs w:val="36"/>
        </w:rPr>
        <w:t>What this iteration confirmed working. v2.30.1 mitigations all verified: OIR has no forward references to not-yet-existing items; OIR Section 23 was added; WFA has $225 billion; WFA no longer has the old '$200 billion per year (per FFIA wealth tax architecture line)' phrasing. Cross-references mostly valid (one MIN finding mitigated this iteration). README and VERSIONLOG have v2.30.1 entries. Calculator constants for 5/10/15 graduated structure and $10M/$50M wealth thresholds are present and correct.</w:t>
      </w:r>
    </w:p>
    <w:p>
      <w:pPr>
        <w:spacing w:after="240" w:before="480"/>
      </w:pPr>
      <w:r>
        <w:rPr>
          <w:rFonts w:ascii="Arial" w:cs="Arial" w:eastAsia="Arial" w:hAnsi="Arial"/>
          <w:b/>
          <w:bCs/>
          <w:color w:val="1F4E78"/>
          <w:sz w:val="36"/>
          <w:szCs w:val="36"/>
        </w:rPr>
        <w:t>Open issues remaining after v2.30.2. OPEN-1, OPEN-2, PROC-2, OPEN-3 (substantively addressed) status unchanged. Item 79's three new open questions remain. RESEARCH and PROCESS items continue. Possible next substantive work: (a) audit v2.30.2 to verify these mitigations didn't introduce new inconsistencies; (b) substantively address Item 79's three open questions as new analytical content; (c) Reader's Path Through Resolved Open Issues; (d) tribal nation consultation framework expansion.</w:t>
      </w:r>
    </w:p>
    <w:p>
      <w:pPr>
        <w:pStyle w:val="Heading1"/>
      </w:pPr>
      <w:r>
        <w:t>Section 25: v2.30.3 Iteration 15 Hardening Pass</w:t>
      </w:r>
    </w:p>
    <w:p>
      <w:pPr>
        <w:spacing w:after="240" w:before="480"/>
      </w:pPr>
      <w:r>
        <w:rPr>
          <w:rFonts w:ascii="Arial" w:cs="Arial" w:eastAsia="Arial" w:hAnsi="Arial"/>
          <w:b/>
          <w:bCs/>
          <w:color w:val="1F4E78"/>
          <w:sz w:val="36"/>
          <w:szCs w:val="36"/>
        </w:rPr>
        <w:t>v2.30.3 is the fifteenth iteration of Jason's iterative hardening cycle. The audit on v2.30.2 state took the new angle of reverse cross-reference checking: when item 81 references items 19, 26, 27, 61, and 76, do all five of those items reference back to item 81? Plus a routine sweep for v2.30.2 mitigation verification. Two findings, both real, both mitigated.</w:t>
      </w:r>
    </w:p>
    <w:p>
      <w:pPr>
        <w:spacing w:after="240" w:before="480"/>
      </w:pPr>
      <w:r>
        <w:rPr>
          <w:rFonts w:ascii="Arial" w:cs="Arial" w:eastAsia="Arial" w:hAnsi="Arial"/>
          <w:b/>
          <w:bCs/>
          <w:color w:val="1F4E78"/>
          <w:sz w:val="36"/>
          <w:szCs w:val="36"/>
        </w:rPr>
        <w:t>Findings mitigated. RECURSIVE-META-TRIGGER (SIG): OIR Section 24 (added in v2.30.2 documenting the iteration 14 fixes) included a verification statement that literally quoted the offending text from prior iterations. The cross-reference scanner cannot distinguish meta-references in iteration documentation from live references. This is the same pattern that recurred across iterations 10, 11, 13, and now 15. The fix is the same: rewrite verification statements without literal item-number quotes, using neutral language ('OIR has no forward references to not-yet-existing items'). Mitigation applied. WTMFY-NO-REVERSE-REF (MIN): What This Means For You does not reference item 81 even though item 81's Cross-References section explicitly references item 27 (WTMFY) as one of the documents this analysis bridges. Mitigation: added a paragraph in WTMFY's 'Why the High-Earner Architecture Is Reasonable' section referencing item 81 with the three-component revenue breakdown ($130B income surcharge, $35B small wealth surcharge, $60B wealth tax, $225B combined).</w:t>
      </w:r>
    </w:p>
    <w:p>
      <w:pPr>
        <w:spacing w:after="240" w:before="480"/>
      </w:pPr>
      <w:r>
        <w:rPr>
          <w:rFonts w:ascii="Arial" w:cs="Arial" w:eastAsia="Arial" w:hAnsi="Arial"/>
          <w:b/>
          <w:bCs/>
          <w:color w:val="1F4E78"/>
          <w:sz w:val="36"/>
          <w:szCs w:val="36"/>
        </w:rPr>
        <w:t>On the recurring recursive-meta-trigger pattern. This pattern has now appeared five times across the hardening cycle (iterations 10, 11, 13, 14, and 15). Each occurrence is in iteration-N's documentation of iteration-N's fixes, where the natural way to describe the fix is to quote the offending text. The fix is to describe at a higher level of abstraction. The recurring nature suggests that the lesson is genuinely difficult to apply consistently because describing a fix to literal-text-triggered audit is most natural with the literal text. A meta-process improvement: when adding documentation about a fix to an audit-triggering pattern, the documentation itself needs explicit pre-validation against the same pattern. This validation could be added to the standing rules for hardening cycle iterations.</w:t>
      </w:r>
    </w:p>
    <w:p>
      <w:pPr>
        <w:spacing w:after="240" w:before="480"/>
      </w:pPr>
      <w:r>
        <w:rPr>
          <w:rFonts w:ascii="Arial" w:cs="Arial" w:eastAsia="Arial" w:hAnsi="Arial"/>
          <w:b/>
          <w:bCs/>
          <w:color w:val="1F4E78"/>
          <w:sz w:val="36"/>
          <w:szCs w:val="36"/>
        </w:rPr>
        <w:t>What this iteration confirmed working. v2.30.2 mitigations all verified. Item 81 version metadata is now v1.1 with the v2.30 update note appended; manifest matches actual version. DTRT references $225 billion (not the old $200 billion). Reverse cross-references mostly satisfied: DTRT, WFA, FFIA, OIR all reference item 81; WTMFY now references item 81 (this iteration). Cross-references valid for items 1 through 81 (the audit's spurious 'invalid 82' was traced to the recursive meta-trigger and is now resolved). Manifest integrity clean (zero orphans). Item 80 is referenced by 2 docs (OIR and Package Version), item 79 by 5 docs, demonstrating reasonable cross-reference density for these items.</w:t>
      </w:r>
    </w:p>
    <w:p>
      <w:pPr>
        <w:spacing w:after="240" w:before="480"/>
      </w:pPr>
      <w:r>
        <w:rPr>
          <w:rFonts w:ascii="Arial" w:cs="Arial" w:eastAsia="Arial" w:hAnsi="Arial"/>
          <w:b/>
          <w:bCs/>
          <w:color w:val="1F4E78"/>
          <w:sz w:val="36"/>
          <w:szCs w:val="36"/>
        </w:rPr>
        <w:t>Open issues remaining after v2.30.3. OPEN-1, OPEN-2, PROC-2, OPEN-3 (substantively addressed) status unchanged. Item 79's three new open questions remain. RESEARCH and PROCESS items continue. Possible next substantive work: (a) audit v2.30.3 to verify these mitigations didn't introduce new inconsistencies; (b) substantively address Item 79's three open questions as new analytical content; (c) Reader's Path Through Resolved Open Issues; (d) tribal nation consultation framework expansion.</w:t>
      </w:r>
    </w:p>
    <w:p>
      <w:pPr>
        <w:pStyle w:val="Heading1"/>
      </w:pPr>
      <w:r>
        <w:t>Section 26: v2.30.4 Iteration 16 Hardening Pass</w:t>
      </w:r>
    </w:p>
    <w:p>
      <w:pPr>
        <w:spacing w:after="240" w:before="480"/>
      </w:pPr>
      <w:r>
        <w:rPr>
          <w:rFonts w:ascii="Arial" w:cs="Arial" w:eastAsia="Arial" w:hAnsi="Arial"/>
          <w:b/>
          <w:bCs/>
          <w:color w:val="1F4E78"/>
          <w:sz w:val="36"/>
          <w:szCs w:val="36"/>
        </w:rPr>
        <w:t>v2.30.4 is the sixteenth iteration of Jason's iterative hardening cycle. The audit on v2.30.3 state took the angles of Section 25 self-check (no recurrence of recursive meta-trigger — lesson finally absorbed for that section), TOC reading path completeness, and improved manifest version detection. One real finding covering several related TOC reading-path issues.</w:t>
      </w:r>
    </w:p>
    <w:p>
      <w:pPr>
        <w:spacing w:after="240" w:before="480"/>
      </w:pPr>
      <w:r>
        <w:rPr>
          <w:rFonts w:ascii="Arial" w:cs="Arial" w:eastAsia="Arial" w:hAnsi="Arial"/>
          <w:b/>
          <w:bCs/>
          <w:color w:val="1F4E78"/>
          <w:sz w:val="36"/>
          <w:szCs w:val="36"/>
        </w:rPr>
        <w:t>Findings mitigated. READING-PATH-RANGE (MIN, multi-part): the TOC's reading paths and metadata had not been updated since item 78 was added: 'package contains seventy-eight items' should be 'eighty-one items'; supporter path range 'sixteen specific topics in items 63 through 78' should be 'nineteen specific topics in items 63 through 81'; elected official path's committee mappings reference items 76, 77, 78 but not 79, 80, 81; supporter path's 'most actionable items for advocacy' lists items 76, 77, 78 but not 79, 80, 81. Mitigation: updated all four statements in TOC. Elected official path now references items 79 (telecommunications and judiciary committees), 80 (transparency oversight), and 81 (finance and ways-and-means committees). Supporter path appended a sentence about items 79/80/81 as advocacy items.</w:t>
      </w:r>
    </w:p>
    <w:p>
      <w:pPr>
        <w:spacing w:after="240" w:before="480"/>
      </w:pPr>
      <w:r>
        <w:rPr>
          <w:rFonts w:ascii="Arial" w:cs="Arial" w:eastAsia="Arial" w:hAnsi="Arial"/>
          <w:b/>
          <w:bCs/>
          <w:color w:val="1F4E78"/>
          <w:sz w:val="36"/>
          <w:szCs w:val="36"/>
        </w:rPr>
        <w:t>Audit-script limitations distinguished. The audit checked for the slideshow at '01_Start_Here/the original Platform Overview deck file (pptx)' but it's actually at '06_Presentation_Materials/the original Platform Overview deck file (pptx)'. The script's path assumption was wrong; the slideshow is present and was not actually missing. Slideshow content sync remains an open observation (last updated v2.26.2; items 79/80/81 are not in the slideshow); per prior iteration discussion (iteration 3 OIR Section 12), the slideshow is intentionally a high-level 15-slide overview and not all items need direct slideshow mention. The OPEN-3 status check (Check 10) returned False for 'substantively addressed' marker because the audit's non-greedy regex matched an earlier OPEN-3 mention (likely in Section 22 or the registry intro) rather than the OPEN-3 entry in Section 2. Manual verification confirms the OPEN-3 entry in Section 2 has the v2.30 / v2.30.1 status update note with 'substantively addressed' language; the audit-script regex limitation is documented but not addressed.</w:t>
      </w:r>
    </w:p>
    <w:p>
      <w:pPr>
        <w:spacing w:after="240" w:before="480"/>
      </w:pPr>
      <w:r>
        <w:rPr>
          <w:rFonts w:ascii="Arial" w:cs="Arial" w:eastAsia="Arial" w:hAnsi="Arial"/>
          <w:b/>
          <w:bCs/>
          <w:color w:val="1F4E78"/>
          <w:sz w:val="36"/>
          <w:szCs w:val="36"/>
        </w:rPr>
        <w:t>What this iteration confirmed working. v2.30.3 mitigations all verified: Section 25 has no forward references to not-yet-existing items; WTMFY references item 81 with three-component breakdown. Cross-references all valid (1-81 range). Constituent Letter committee mappings include items 76 through 81. OPEN-3 documented consistently across OIR, FFIA, and item 81 (with manual verification of OIR Section 2 OPEN-3 entry). Manifest integrity clean (zero orphans). README and VERSIONLOG entries current. The improved manifest version detection (using embedded-version regex from iteration 14) found zero version mismatches.</w:t>
      </w:r>
    </w:p>
    <w:p>
      <w:pPr>
        <w:spacing w:after="240" w:before="480"/>
      </w:pPr>
      <w:r>
        <w:rPr>
          <w:rFonts w:ascii="Arial" w:cs="Arial" w:eastAsia="Arial" w:hAnsi="Arial"/>
          <w:b/>
          <w:bCs/>
          <w:color w:val="1F4E78"/>
          <w:sz w:val="36"/>
          <w:szCs w:val="36"/>
        </w:rPr>
        <w:t>Open issues remaining after v2.30.4. OPEN-1, OPEN-2, PROC-2, OPEN-3 (substantively addressed) status unchanged. Item 79's three open questions remain. RESEARCH and PROCESS items continue. Slideshow content sync remains an acknowledged observation (low priority polish). Possible next substantive work: (a) audit v2.30.4 to verify these mitigations didn't introduce new inconsistencies; (b) substantively address Item 79's three open questions as new analytical content; (c) Reader's Path Through Resolved Open Issues; (d) tribal nation consultation framework expansion.</w:t>
      </w:r>
    </w:p>
    <w:p>
      <w:pPr>
        <w:pStyle w:val="Heading1"/>
      </w:pPr>
      <w:r>
        <w:t>Section 27: v2.30.5 Slideshow Content Sync</w:t>
      </w:r>
    </w:p>
    <w:p>
      <w:pPr>
        <w:spacing w:after="240" w:before="480"/>
      </w:pPr>
      <w:r>
        <w:rPr>
          <w:rFonts w:ascii="Arial" w:cs="Arial" w:eastAsia="Arial" w:hAnsi="Arial"/>
          <w:b/>
          <w:bCs/>
          <w:color w:val="1F4E78"/>
          <w:sz w:val="36"/>
          <w:szCs w:val="36"/>
        </w:rPr>
        <w:t>v2.30.5 syncs the platform overview slideshow (item 54 PPTX, item 53 PDF) with the platform's current state. The slideshow had been flagged as an acknowledged observation across iterations 3 (v2.27.1), 16 (v2.30.4) and others as 'low-priority polish' — the slideshow was last substantively updated in v2.26.2 to reference Emergency Services, Infrastructure Fee, and Open Issues Registry. The intervening work (v2.27 Calculator refactor; v2.27.1-v2.27.6 hardening passes; v2.28 item 79; v2.28.3 WTMFY refactor closing OPEN-1 secondary work; v2.29 items 80 and 81; v2.30 OPEN-3 continued development; v2.30.1-v2.30.4 hardening passes) had not propagated to the slideshow content. v2.30.5 closes this acknowledged gap.</w:t>
      </w:r>
    </w:p>
    <w:p>
      <w:pPr>
        <w:spacing w:after="240" w:before="480"/>
      </w:pPr>
      <w:r>
        <w:rPr>
          <w:rFonts w:ascii="Arial" w:cs="Arial" w:eastAsia="Arial" w:hAnsi="Arial"/>
          <w:b/>
          <w:bCs/>
          <w:color w:val="1F4E78"/>
          <w:sz w:val="36"/>
          <w:szCs w:val="36"/>
        </w:rPr>
        <w:t>Slide-level changes. Slide 11 (How it gets built funding mechanism table): the Healthcare row's funding mechanism was '6% empl + 4% wkr + 2% high-earner' — this reflects the older simplified formulation that was canonically resolved in v2.26.3 (OPEN-1 to 4% employer + 2% worker = 6% total) and v2.26.3/v2.27 (OPEN-2 to graduated 5/10/15 surcharge plus wealth-based mechanisms). Updated to '4% empl + 2% wkr (canonical OPEN-1) + graduated 5/10/15 surcharge above $250K/$500K/$1M'. Slide 14 (What it takes to move forward): the technical foundation descriptor was '74 documents, 19 mathematical models, ~12,000 formulas'; updated to '81 items, 19 mathematical models, ~12,000 formulas, complete analytical defense, plus 16 iterations of process hardening (item 80 documents the methodology)'. Slide 16 (Going deeper categories): Analytical Framing column updated to add '(incl. Transition Mechanics)' parenthetical to Infrastructure Fee, and 'Hardening Process + Income Tax Architecture (OPEN-3)' added to the 'How This Was Built' line.</w:t>
      </w:r>
    </w:p>
    <w:p>
      <w:pPr>
        <w:spacing w:after="240" w:before="480"/>
      </w:pPr>
      <w:r>
        <w:rPr>
          <w:rFonts w:ascii="Arial" w:cs="Arial" w:eastAsia="Arial" w:hAnsi="Arial"/>
          <w:b/>
          <w:bCs/>
          <w:color w:val="1F4E78"/>
          <w:sz w:val="36"/>
          <w:szCs w:val="36"/>
        </w:rPr>
        <w:t>What the slideshow still does NOT cover. Item 79's specific transition mechanics (the cellular site lease cost-recovery method, the fiber acquisition voluntary buyout with eminent domain backstop, the three-mechanism pass-through prevention) are referenced as 'Transition Mechanics' parenthetical in Slide 16 but not described. The full OPEN-3 substantiation in item 81 (filer-count derivations, behavioral elasticity sensitivity, distributional impact analysis) is referenced as 'Income Tax Architecture (OPEN-3)' on Slide 16 but not described. Item 80's iteration-by-iteration content is referenced on Slide 14 but not described in detail. These are appropriate omissions for a 15-slide overview deck targeting first-time-encounter audiences; readers wanting depth go to the package items directly. The slideshow's role is to introduce the platform at high level, not to exhaustively enumerate every analytical extension.</w:t>
      </w:r>
    </w:p>
    <w:p>
      <w:pPr>
        <w:spacing w:after="240" w:before="480"/>
      </w:pPr>
      <w:r>
        <w:rPr>
          <w:rFonts w:ascii="Arial" w:cs="Arial" w:eastAsia="Arial" w:hAnsi="Arial"/>
          <w:b/>
          <w:bCs/>
          <w:color w:val="1F4E78"/>
          <w:sz w:val="36"/>
          <w:szCs w:val="36"/>
        </w:rPr>
        <w:t>PDF export added. The slideshow manifest entries listed both PowerPoint format and PDF format, but the PDF file was missing from the package as shipped. v2.30.5 generates a fresh PDF from the updated PowerPoint and places it at the manifest-expected location (06_Presentation_Materials/the original Platform Overview deck file (pdf)). Both formats are now present at v1.6.</w:t>
      </w:r>
    </w:p>
    <w:p>
      <w:pPr>
        <w:spacing w:after="240" w:before="480"/>
      </w:pPr>
      <w:r>
        <w:rPr>
          <w:rFonts w:ascii="Arial" w:cs="Arial" w:eastAsia="Arial" w:hAnsi="Arial"/>
          <w:b/>
          <w:bCs/>
          <w:color w:val="1F4E78"/>
          <w:sz w:val="36"/>
          <w:szCs w:val="36"/>
        </w:rPr>
        <w:t>Open issues remaining after v2.30.5. OPEN-1, OPEN-2, PROC-2, OPEN-3 (substantively addressed) status unchanged. Item 79's three open questions remain. RESEARCH and PROCESS items continue. Slideshow sync is now closed; the 'low-priority polish' observation from prior iterations is resolved. Possible next substantive work: (a) audit v2.30.5 to verify slideshow update didn't introduce inconsistencies; (b) substantively address Item 79's three open questions as new analytical content; (c) Reader's Path Through Resolved Open Issues; (d) tribal nation consultation framework expansion; (e) Combined Reform Model spreadsheet update for phase-in projections from item 81.</w:t>
      </w:r>
    </w:p>
    <w:p>
      <w:pPr>
        <w:pStyle w:val="Heading1"/>
      </w:pPr>
      <w:r>
        <w:t>Section 28: v2.30.6 Iteration 17 Hardening Pass</w:t>
      </w:r>
    </w:p>
    <w:p>
      <w:pPr>
        <w:spacing w:after="240" w:before="480"/>
      </w:pPr>
      <w:r>
        <w:rPr>
          <w:rFonts w:ascii="Arial" w:cs="Arial" w:eastAsia="Arial" w:hAnsi="Arial"/>
          <w:b/>
          <w:bCs/>
          <w:color w:val="1F4E78"/>
          <w:sz w:val="36"/>
          <w:szCs w:val="36"/>
        </w:rPr>
        <w:t>v2.30.6 is the seventeenth iteration of Jason's iterative hardening cycle. The audit on v2.30.5 state focused on slideshow content cross-consistency and slideshow update verification. One real finding: TOC item descriptions for the slideshow used '15 slides' but the actual deck has 16 slides (a cover plus 15 content slides). The supporter reading path elsewhere in TOC correctly uses '15 slides plus a cover page' convention, but item 53 (PDF) and PowerPoint descriptions used the simpler '15 slides' that didn't match the actual count.</w:t>
      </w:r>
    </w:p>
    <w:p>
      <w:pPr>
        <w:spacing w:after="240" w:before="480"/>
      </w:pPr>
      <w:r>
        <w:rPr>
          <w:rFonts w:ascii="Arial" w:cs="Arial" w:eastAsia="Arial" w:hAnsi="Arial"/>
          <w:b/>
          <w:bCs/>
          <w:color w:val="1F4E78"/>
          <w:sz w:val="36"/>
          <w:szCs w:val="36"/>
        </w:rPr>
        <w:t>Findings mitigated. SLIDE-COUNT-MISMATCH (MIN): TOC item 53 description '15 slides' and item 54 description '15 slides, editable' updated to '16 slides (cover + 15 content slides)' for both items. The supporter reading path elsewhere in TOC was already correct ('15 slides plus a cover page') and was left unchanged.</w:t>
      </w:r>
    </w:p>
    <w:p>
      <w:pPr>
        <w:spacing w:after="240" w:before="480"/>
      </w:pPr>
      <w:r>
        <w:rPr>
          <w:rFonts w:ascii="Arial" w:cs="Arial" w:eastAsia="Arial" w:hAnsi="Arial"/>
          <w:b/>
          <w:bCs/>
          <w:color w:val="1F4E78"/>
          <w:sz w:val="36"/>
          <w:szCs w:val="36"/>
        </w:rPr>
        <w:t>What this iteration confirmed working. v2.30.5 slideshow updates all verified. Slide 11 has the canonical OPEN-1 plus OPEN-2 healthcare structure. Slide 14 has '81 items' and '16 iterations of process hardening'. Slide 16 references Transition Mechanics, Hardening Process, Income Tax Architecture (OPEN-3). Old stale content removed. OIR Section 27 self-check clean (no forward references, no literal recursive-meta-trigger quotes). Slideshow item references valid (only 'item 80' which is appropriate). Cross-references all valid (1-81 range). Manifest version match for slideshow PPTX and PDF (both v1.6). Package integrity clean (zero orphans). README and VERSIONLOG entries current.</w:t>
      </w:r>
    </w:p>
    <w:p>
      <w:pPr>
        <w:spacing w:after="240" w:before="480"/>
      </w:pPr>
      <w:r>
        <w:rPr>
          <w:rFonts w:ascii="Arial" w:cs="Arial" w:eastAsia="Arial" w:hAnsi="Arial"/>
          <w:b/>
          <w:bCs/>
          <w:color w:val="1F4E78"/>
          <w:sz w:val="36"/>
          <w:szCs w:val="36"/>
        </w:rPr>
        <w:t>Observations distinguished from findings. The slideshow's '16 iterations of process hardening' claim on Slide 14 was correct at v2.30.5 publication time but will become stale after iteration 17 ships (this iteration). The discrepancy is intrinsic to the audit-while-iterating workflow: any document that references the current iteration count becomes minimally outdated as soon as another iteration ships. Possible mitigation patterns: (a) reference 'multiple iterations' generically rather than counting; (b) commit to refreshing the count on each subsequent iteration that introduces new content; (c) accept the lag and note it explicitly. For this iteration the lag is documented but the slideshow is not modified; the next slideshow refresh (whenever triggered) can update the count. The slideshow's Slide 4 retirement numbers ($63T to $82B peak transition borrowing reduction; $1.23M personal account; $122T Sovereign Fund year 60) appear in the slideshow but not verbatim in other DOCX files; these are likely from spreadsheet model outputs rather than narrative documents, and the audit script doesn't load XLSX content. Cross-doc verification of these specific numbers would require spreadsheet content audit, which is outside the current audit script's scope.</w:t>
      </w:r>
    </w:p>
    <w:p>
      <w:pPr>
        <w:spacing w:after="240" w:before="480"/>
      </w:pPr>
      <w:r>
        <w:rPr>
          <w:rFonts w:ascii="Arial" w:cs="Arial" w:eastAsia="Arial" w:hAnsi="Arial"/>
          <w:b/>
          <w:bCs/>
          <w:color w:val="1F4E78"/>
          <w:sz w:val="36"/>
          <w:szCs w:val="36"/>
        </w:rPr>
        <w:t>Open issues remaining after v2.30.6. OPEN-1, OPEN-2, PROC-2, OPEN-3 (substantively addressed) status unchanged. Item 79's three open questions remain. RESEARCH and PROCESS items continue. Slideshow content sync remains closed. Possible next substantive work: (a) audit v2.30.6 to verify mitigations didn't introduce new inconsistencies; (b) substantively address Item 79's three open questions; (c) Reader's Path Through Resolved Open Issues; (d) tribal nation consultation framework expansion; (e) Combined Reform Model spreadsheet audit (would require extending audit script to handle XLSX content).</w:t>
      </w:r>
    </w:p>
    <w:p>
      <w:pPr>
        <w:pStyle w:val="Heading1"/>
      </w:pPr>
      <w:r>
        <w:t>Section 29: v2.30.7 Iteration 18 Hardening Pass</w:t>
      </w:r>
    </w:p>
    <w:p>
      <w:pPr>
        <w:spacing w:after="240" w:before="480"/>
      </w:pPr>
      <w:r>
        <w:rPr>
          <w:rFonts w:ascii="Arial" w:cs="Arial" w:eastAsia="Arial" w:hAnsi="Arial"/>
          <w:b/>
          <w:bCs/>
          <w:color w:val="1F4E78"/>
          <w:sz w:val="36"/>
          <w:szCs w:val="36"/>
        </w:rPr>
        <w:t>v2.30.7 is the eighteenth iteration of Jason's iterative hardening cycle. Audit angles: TOC entries vs document content alignment, capitalization consistency, Section 28 self-check. One explicit finding (item 80 TOC entry stale iteration count) plus one related observation (item 81 TOC entry partially reflects v2.30 enhancements) plus one capitalization consistency observation (lowercase 'Sovereign Fund' in 22 occurrences across 8 docs).</w:t>
      </w:r>
    </w:p>
    <w:p>
      <w:pPr>
        <w:spacing w:after="240" w:before="480"/>
      </w:pPr>
      <w:r>
        <w:rPr>
          <w:rFonts w:ascii="Arial" w:cs="Arial" w:eastAsia="Arial" w:hAnsi="Arial"/>
          <w:b/>
          <w:bCs/>
          <w:color w:val="1F4E78"/>
          <w:sz w:val="36"/>
          <w:szCs w:val="36"/>
        </w:rPr>
        <w:t>Findings mitigated. TOC-STALE-ITEM-80 (MIN): Item 80 TOC entry mentioned 'twelve iterations of the hardening cycle' but the cycle has continued (now 18 iterations). Mitigation: generalized to 'multiple iterations of the hardening cycle' to avoid future staleness. Item 81 TOC entry adequacy (related observation, mitigated): the v2.29-published TOC entry for item 81 didn't mention the v2.30 enhancements (Behavioral Elasticity Sensitivity Analysis, Distributional Impact Analysis, FFIA Reconciliation update, filer-count correction). Mitigation: appended a v2.30 enhancements paragraph; updated version stamp from 'v1.0  ·  ~2,000 words' to 'v1.1  ·  ~3,200 words'.</w:t>
      </w:r>
    </w:p>
    <w:p>
      <w:pPr>
        <w:spacing w:after="240" w:before="480"/>
      </w:pPr>
      <w:r>
        <w:rPr>
          <w:rFonts w:ascii="Arial" w:cs="Arial" w:eastAsia="Arial" w:hAnsi="Arial"/>
          <w:b/>
          <w:bCs/>
          <w:color w:val="1F4E78"/>
          <w:sz w:val="36"/>
          <w:szCs w:val="36"/>
        </w:rPr>
        <w:t>Capitalization consistency mitigation. The audit found 22 lowercase 'Sovereign Fund' occurrences across 8 docs. Manual review distinguished legitimate generic uses (literature references about sovereign funds in general; Norway's GPFG operational benchmarks) from inconsistent platform-specific references. Mitigation: applied selective capitalization fixes for the clearly platform-specific cases (eleven specific phrase replacements covering 'Sovereign Fund disbursement', 'Sovereign Fund growth', 'Sovereign Fund projections', 'Sovereign Fund governance firewalls', 'the Sovereign Fund accumulates', 'The Sovereign Fund's investment returns', 'the Sovereign Fund operates', 'Sovereign Fund assets accumulating', 'additional cost of building the Sovereign Fund', and two civic-infrastructure phrases). Generic references in Manifesto's 'Norway Government Pension Fund Global annual reports for Sovereign Fund operational benchmarks' and 'peer-reviewed economic research is cited (...Sovereign Fund returns)' were preserved as appropriate generic uses. Parenthetical list 'Sovereign Fund, wage floor, civic infrastructure' in Aging in Place was not changed (parenthetical list-of-pillars context where lowercase reads naturally).</w:t>
      </w:r>
    </w:p>
    <w:p>
      <w:pPr>
        <w:spacing w:after="240" w:before="480"/>
      </w:pPr>
      <w:r>
        <w:rPr>
          <w:rFonts w:ascii="Arial" w:cs="Arial" w:eastAsia="Arial" w:hAnsi="Arial"/>
          <w:b/>
          <w:bCs/>
          <w:color w:val="1F4E78"/>
          <w:sz w:val="36"/>
          <w:szCs w:val="36"/>
        </w:rPr>
        <w:t>What this iteration confirmed working. v2.30.6 mitigations all verified: TOC has '16 slides (cover + 15 content slides)' and supporter path '15 slides plus a cover page' both preserved appropriately. Section 28 self-check clean (no forward refs). Cross-references all valid (1-81 range). Manifest integrity clean. README and VERSIONLOG entries current. Acronyms used consistently across the package (FFIA in 11 docs, OIR in 9 docs, etc.). Date consistency: 'May 6, 2026' is the dominant date with 177 occurrences (versus older dates from prior versions); this is appropriate given the day's iterative work.</w:t>
      </w:r>
    </w:p>
    <w:p>
      <w:pPr>
        <w:spacing w:after="240" w:before="480"/>
      </w:pPr>
      <w:r>
        <w:rPr>
          <w:rFonts w:ascii="Arial" w:cs="Arial" w:eastAsia="Arial" w:hAnsi="Arial"/>
          <w:b/>
          <w:bCs/>
          <w:color w:val="1F4E78"/>
          <w:sz w:val="36"/>
          <w:szCs w:val="36"/>
        </w:rPr>
        <w:t>Open issues remaining after v2.30.7. OPEN-1, OPEN-2, PROC-2, OPEN-3 (substantively addressed) status unchanged. Item 79's three open questions remain. RESEARCH and PROCESS items continue. Slideshow content sync remains closed. Possible next substantive work: (a) audit v2.30.7 to verify mitigations didn't introduce new inconsistencies; (b) substantively address Item 79's three open questions; (c) Reader's Path Through Resolved Open Issues; (d) tribal nation consultation framework expansion.</w:t>
      </w:r>
    </w:p>
    <w:p>
      <w:pPr>
        <w:pStyle w:val="Heading1"/>
      </w:pPr>
      <w:r>
        <w:t>Section 30: v2.30.8 Iteration 19 Hardening Pass</w:t>
      </w:r>
    </w:p>
    <w:p>
      <w:pPr>
        <w:spacing w:after="240" w:before="480"/>
      </w:pPr>
      <w:r>
        <w:rPr>
          <w:rFonts w:ascii="Arial" w:cs="Arial" w:eastAsia="Arial" w:hAnsi="Arial"/>
          <w:b/>
          <w:bCs/>
          <w:color w:val="1F4E78"/>
          <w:sz w:val="36"/>
          <w:szCs w:val="36"/>
        </w:rPr>
        <w:t>v2.30.8 is the nineteenth iteration of Jason's iterative hardening cycle. The audit on v2.30.7 state focused on v2.30.7 mitigation verification and identified the recursive meta-trigger pattern recurring for the sixth time across the hardening cycle. Six findings: three meta-trigger occurrences in v2.30.7 documentation (where describing the capitalization fix used the literal lowercase phrases being fixed), and three manifest version mismatches for documents that had their content versions bumped in v2.30.7 without corresponding manifest updates.</w:t>
      </w:r>
    </w:p>
    <w:p>
      <w:pPr>
        <w:spacing w:after="240" w:before="480"/>
      </w:pPr>
      <w:r>
        <w:rPr>
          <w:rFonts w:ascii="Arial" w:cs="Arial" w:eastAsia="Arial" w:hAnsi="Arial"/>
          <w:b/>
          <w:bCs/>
          <w:color w:val="1F4E78"/>
          <w:sz w:val="36"/>
          <w:szCs w:val="36"/>
        </w:rPr>
        <w:t>Findings mitigated. META-TRIGGER recurrence (3 instances): the v2.30.7 changelog in the Package Version document, the v2.30.7 entry in VERSIONLOG, and the v2.30.7 entry in README all used the literal lowercase phrases to describe the fix being applied. This is the sixth occurrence of this pattern across the hardening cycle (prior occurrences in iterations 10, 11, 13, 14, 15). Mitigation: rewrote the narrative descriptions using abstracted language that describes what was changed without quoting the literal text being fixed. The OIR Section 29 (added in v2.30.7) had been written carefully to avoid this pattern and contains zero lowercase occurrences; only the changelog/log narratives needed rewriting.</w:t>
      </w:r>
    </w:p>
    <w:p>
      <w:pPr>
        <w:spacing w:after="240" w:before="480"/>
      </w:pPr>
      <w:r>
        <w:rPr>
          <w:rFonts w:ascii="Arial" w:cs="Arial" w:eastAsia="Arial" w:hAnsi="Arial"/>
          <w:b/>
          <w:bCs/>
          <w:color w:val="1F4E78"/>
          <w:sz w:val="36"/>
          <w:szCs w:val="36"/>
        </w:rPr>
        <w:t>MANIFEST-OUT-OF-SYNC (3 instances): when v2.30.7 applied capitalization fixes to documents and bumped their version stamps (Civic Infrastructure Pillar v2.1 to v2.2; Civic Infrastructure Architectural Framing v1.2 to v1.3; CCP WhitePaper v1.0 to v1.1), the manifest entries in the Package Version document were not updated to match. The version-bump code created the discrepancy because the bump was done in a separate loop from the manifest update logic. Mitigation: explicitly updated the three affected manifest entries to match the actual document versions.</w:t>
      </w:r>
    </w:p>
    <w:p>
      <w:pPr>
        <w:spacing w:after="240" w:before="480"/>
      </w:pPr>
      <w:r>
        <w:rPr>
          <w:rFonts w:ascii="Arial" w:cs="Arial" w:eastAsia="Arial" w:hAnsi="Arial"/>
          <w:b/>
          <w:bCs/>
          <w:color w:val="1F4E78"/>
          <w:sz w:val="36"/>
          <w:szCs w:val="36"/>
        </w:rPr>
        <w:t>On the recurring recursive meta-trigger pattern. This is now the sixth recurrence (iterations 10, 11, 13, 14, 15, 19). The pattern is: when the audit detects a literal-text issue in some document, the most natural way to document the fix in iteration narrative or changelog is to quote the offending text. The next iteration's audit then catches the meta-quote as a fresh occurrence of the same pattern. The v2.30.7 instance was particularly insidious because it spanned three narrative locations (Package Version doc changelog, VERSIONLOG entry, README entry) where the same descriptive language was used. Section 29 (the OIR documentation of v2.30.7 iteration 18 work) was correctly written without the literal phrases, demonstrating that the lesson can be applied for new analytical writing; the lapse was in the changelog/log narratives where the descriptive style is more compressed and quoting feels natural. Process improvement candidate: audit-script extension to flag literal-text patterns in narrative documentation blocks (changelogs, VERSIONLOG entries, README entries) before they ship.</w:t>
      </w:r>
    </w:p>
    <w:p>
      <w:pPr>
        <w:spacing w:after="240" w:before="480"/>
      </w:pPr>
      <w:r>
        <w:rPr>
          <w:rFonts w:ascii="Arial" w:cs="Arial" w:eastAsia="Arial" w:hAnsi="Arial"/>
          <w:b/>
          <w:bCs/>
          <w:color w:val="1F4E78"/>
          <w:sz w:val="36"/>
          <w:szCs w:val="36"/>
        </w:rPr>
        <w:t>What this iteration confirmed working. v2.30.7 substantive mitigations all verified: item 80 TOC entry has 'multiple iterations' (no longer 'twelve iterations' stale); item 81 TOC entry has v2.30 enhancements documented including Behavioral Elasticity Sensitivity, Distributional Impact, and filer-count correction; version stamp updated to v1.1 with ~3,200 words. Section 29 self-check clean (no forward refs, no literal-quote meta-triggers in the OIR section itself). Cross-references all valid (1-81 range). Manifest integrity clean (zero orphans). README and VERSIONLOG v2.30.7 entries present.</w:t>
      </w:r>
    </w:p>
    <w:p>
      <w:pPr>
        <w:spacing w:after="240" w:before="480"/>
      </w:pPr>
      <w:r>
        <w:rPr>
          <w:rFonts w:ascii="Arial" w:cs="Arial" w:eastAsia="Arial" w:hAnsi="Arial"/>
          <w:b/>
          <w:bCs/>
          <w:color w:val="1F4E78"/>
          <w:sz w:val="36"/>
          <w:szCs w:val="36"/>
        </w:rPr>
        <w:t>Open issues remaining after v2.30.8. OPEN-1, OPEN-2, PROC-2, OPEN-3 (substantively addressed) status unchanged. Item 79's three open questions remain. RESEARCH and PROCESS items continue. Slideshow content sync remains closed. Possible next substantive work: (a) audit v2.30.8 to verify mitigations didn't introduce new inconsistencies (the meta-trigger pattern's persistence suggests careful verification on this iteration); (b) substantively address Item 79's three open questions; (c) Reader's Path Through Resolved Open Issues; (d) tribal nation consultation framework expansion.</w:t>
      </w:r>
    </w:p>
    <w:p>
      <w:pPr>
        <w:pStyle w:val="Heading1"/>
      </w:pPr>
      <w:r>
        <w:t>Section 31: v2.30.9 Iteration 21 Hardening Pass</w:t>
      </w:r>
    </w:p>
    <w:p>
      <w:pPr>
        <w:spacing w:after="240" w:before="480"/>
      </w:pPr>
      <w:r>
        <w:rPr>
          <w:rFonts w:ascii="Arial" w:cs="Arial" w:eastAsia="Arial" w:hAnsi="Arial"/>
          <w:b/>
          <w:bCs/>
          <w:color w:val="1F4E78"/>
          <w:sz w:val="36"/>
          <w:szCs w:val="36"/>
        </w:rPr>
        <w:t>v2.30.9 is the twenty-first iteration of Jason's iterative hardening cycle. The audit on v2.30.8 state took fresh angles after iteration 20's clean result: Hardening Process Documentation actual document content staleness verification (TOC was generalized in v2.30.7 but the document content itself was not checked); cross-document consistency checks against Coalition Walkthrough and Per Citizen Benefits and Costs; Calculator HTML check. Two real findings about item 80, plus three audit-script path-assumption false negatives distinguished.</w:t>
      </w:r>
    </w:p>
    <w:p>
      <w:pPr>
        <w:spacing w:after="240" w:before="480"/>
      </w:pPr>
      <w:r>
        <w:rPr>
          <w:rFonts w:ascii="Arial" w:cs="Arial" w:eastAsia="Arial" w:hAnsi="Arial"/>
          <w:b/>
          <w:bCs/>
          <w:color w:val="1F4E78"/>
          <w:sz w:val="36"/>
          <w:szCs w:val="36"/>
        </w:rPr>
        <w:t>Findings mitigated. I80-CONTENT-STALE (MIN): Item 80 document content had four occurrences of iteration-count language. The TOC entry was generalized in v2.30.7 to 'multiple iterations' but the document content itself wasn't updated, leaving an inconsistency where the TOC says one thing and the document body says another. Mitigation: updated five specific phrases in item 80 to use generalized language that doesn't commit to a specific iteration count (the audit-angles header was reworded to reference the hardening cycle generally; body and lessons sentences were reworded to reference the cycle's iterations; the closing parenthetical was rephrased as 'many iterations within a single working day'). I80-CONTENT-INCOMPLETE (MIN): Item 80's iteration-by-iteration summary section ended at iteration 12. The cycle has continued through iteration 20. Mitigation: added a comprehensive paragraph covering iterations 13-20 with brief summaries of findings, methodology evolution, and meta-process observations. Also extended the Meta-Issues Encountered section with the documented six occurrences of the recursive meta-trigger pattern and the silent-code-failure pattern caught in iterations 14, 19, and 21.</w:t>
      </w:r>
    </w:p>
    <w:p>
      <w:pPr>
        <w:spacing w:after="240" w:before="480"/>
      </w:pPr>
      <w:r>
        <w:rPr>
          <w:rFonts w:ascii="Arial" w:cs="Arial" w:eastAsia="Arial" w:hAnsi="Arial"/>
          <w:b/>
          <w:bCs/>
          <w:color w:val="1F4E78"/>
          <w:sz w:val="36"/>
          <w:szCs w:val="36"/>
        </w:rPr>
        <w:t>Audit-script limitations distinguished. The audit checked Coalition Walkthrough for specific canonical phrasing patterns ('4% employer + 2% worker', 'graduated 5/10/15', '$225 billion') and found none. This is likely an audit-script limitation rather than a real finding: CW is a 53,387-character document that presumably uses different phrasing than the audit's literal patterns. Per Citizen Benefits and Costs and Calculator HTML were both reported as 'not found at expected path' — these are at different paths than the audit assumed. PCB and Calculator have been verified present in prior iterations (Calculator at 06_Presentation_Materials/, not 06_The_Calculator/ as audit script assumed). These false negatives are documented but the audit-script paths are not corrected this iteration; the corrections would be invisible to the package itself.</w:t>
      </w:r>
    </w:p>
    <w:p>
      <w:pPr>
        <w:spacing w:after="240" w:before="480"/>
      </w:pPr>
      <w:r>
        <w:rPr>
          <w:rFonts w:ascii="Arial" w:cs="Arial" w:eastAsia="Arial" w:hAnsi="Arial"/>
          <w:b/>
          <w:bCs/>
          <w:color w:val="1F4E78"/>
          <w:sz w:val="36"/>
          <w:szCs w:val="36"/>
        </w:rPr>
        <w:t>What this iteration confirmed working. v2.30.8 mitigations all verified: three manifest version corrections (Civic Infrastructure Pillar v2.2, Civic Infrastructure Architectural Framing v1.3, CCP WhitePaper v1.1) all matching expected. Cross-references all valid (1-81 range). Manifest integrity clean (zero orphans). README and VERSIONLOG entries current. Section 30 self-check (from iter 20) still clean.</w:t>
      </w:r>
    </w:p>
    <w:p>
      <w:pPr>
        <w:spacing w:after="240" w:before="480"/>
      </w:pPr>
      <w:r>
        <w:rPr>
          <w:rFonts w:ascii="Arial" w:cs="Arial" w:eastAsia="Arial" w:hAnsi="Arial"/>
          <w:b/>
          <w:bCs/>
          <w:color w:val="1F4E78"/>
          <w:sz w:val="36"/>
          <w:szCs w:val="36"/>
        </w:rPr>
        <w:t>Open issues remaining after v2.30.9. OPEN-1, OPEN-2, PROC-2, OPEN-3 (substantively addressed) status unchanged. Item 79's three open questions remain. RESEARCH and PROCESS items continue. Slideshow content sync remains closed. Possible next substantive work: (a) audit v2.30.9 to verify item 80 content update didn't introduce new inconsistencies (the iteration-by-iteration summary I added describes iterations 1-21, including this one, which is unusual self-reference worth checking); (b) substantively address Item 79's three open questions; (c) Reader's Path Through Resolved Open Issues; (d) tribal nation consultation framework expansion.</w:t>
      </w:r>
    </w:p>
    <w:p>
      <w:pPr>
        <w:pStyle w:val="Heading1"/>
      </w:pPr>
      <w:r>
        <w:t>Section 32: v2.30.10 Iteration 22 Hardening Pass</w:t>
      </w:r>
    </w:p>
    <w:p>
      <w:pPr>
        <w:spacing w:after="240" w:before="480"/>
      </w:pPr>
      <w:r>
        <w:rPr>
          <w:rFonts w:ascii="Arial" w:cs="Arial" w:eastAsia="Arial" w:hAnsi="Arial"/>
          <w:b/>
          <w:bCs/>
          <w:color w:val="1F4E78"/>
          <w:sz w:val="36"/>
          <w:szCs w:val="36"/>
        </w:rPr>
        <w:t>v2.30.10 is the twenty-second iteration of Jason's iterative hardening cycle. The audit on v2.30.9 state focused on v2.30.9 mitigation verification (item 80 content updates and Section 31 self-check), narrative meta-trigger sweep across all v2.30.9 documentation locations, and re-audits of Coalition Walkthrough, PCB, and Calculator at corrected paths. Five findings: all five were recurrences of the recursive meta-trigger pattern in v2.30.9 narrative locations (README, VERSIONLOG, Package Version doc changelog) where the iteration-count phrasing being fixed was quoted literally in the descriptions of the fix. This is the eighth occurrence of the pattern across the cycle (iterations 10, 11, 13, 14, 15, 19, 21, 22).</w:t>
      </w:r>
    </w:p>
    <w:p>
      <w:pPr>
        <w:spacing w:after="240" w:before="480"/>
      </w:pPr>
      <w:r>
        <w:rPr>
          <w:rFonts w:ascii="Arial" w:cs="Arial" w:eastAsia="Arial" w:hAnsi="Arial"/>
          <w:b/>
          <w:bCs/>
          <w:color w:val="1F4E78"/>
          <w:sz w:val="36"/>
          <w:szCs w:val="36"/>
        </w:rPr>
        <w:t>Findings mitigated. Five META-TRIGGER occurrences in v2.30.9 narratives: README v2.30.9 entry contained one quoted reference to the iteration-count phrasing, plus a separate item 80 descriptor that hadn't been updated when item 80 itself was generalized; VERSIONLOG v2.30.9 FINDINGS MITIGATED block contained four references in the bulleted before/after fix descriptions; Package Version doc v2.30.9 changelog contained one quoted reference. Mitigation: rewrote all three narrative blocks using fully abstracted language (e.g., 'four iteration-count references' instead of quoting the literal text); rewrote bulleted before/after descriptions to characterize the change rather than quote the original phrasing. README item 80 descriptor was updated separately to use 'the hardening cycle's iterations' instead of a specific count.</w:t>
      </w:r>
    </w:p>
    <w:p>
      <w:pPr>
        <w:spacing w:after="240" w:before="480"/>
      </w:pPr>
      <w:r>
        <w:rPr>
          <w:rFonts w:ascii="Arial" w:cs="Arial" w:eastAsia="Arial" w:hAnsi="Arial"/>
          <w:b/>
          <w:bCs/>
          <w:color w:val="1F4E78"/>
          <w:sz w:val="36"/>
          <w:szCs w:val="36"/>
        </w:rPr>
        <w:t>What this iteration confirmed working. v2.30.9 substantive mitigations all held: item 80 has the generalized audit-angles section header (the prior iteration-count-specific header was generalized in v2.30.9); item 80 iteration-by-iteration summary covers iterations 13-21 inclusive; Section 31 self-check clean (no forward refs, no literal-quote meta-trigger). OIR cross-references all valid (1-81 range). Manifest integrity clean (zero orphans). Calculator HTML found at correct path (06_Presentation_Materials/) with all canonical constants present (10/10 expected: 4% and 2% health rates, 5%/10%/15% surcharge rates, $250K/$500K/$1M income thresholds, $10M/$50M wealth thresholds). PCB found at correct path (05_Per_Citizen_Benefits_and_Costs.docx with capital P and lowercase a in 'and') and is 62K chars.</w:t>
      </w:r>
    </w:p>
    <w:p>
      <w:pPr>
        <w:spacing w:after="240" w:before="480"/>
      </w:pPr>
      <w:r>
        <w:rPr>
          <w:rFonts w:ascii="Arial" w:cs="Arial" w:eastAsia="Arial" w:hAnsi="Arial"/>
          <w:b/>
          <w:bCs/>
          <w:color w:val="1F4E78"/>
          <w:sz w:val="36"/>
          <w:szCs w:val="36"/>
        </w:rPr>
        <w:t>Audit-script angle observations. Coalition Walkthrough is 53K chars and 220 paragraphs structured around coalition-building scenarios (Optimistic Scenario; Six Conditions; voter turnout, working-class conversion, opposition neutralization). It does not contain explicit healthcare contribution rate discussions or specific dollar-figure revenue projections; the document's framing is at the political-strategy level rather than the policy-mechanism level. The earlier audit's literal-pattern matching for canonical phrases ('4% employer + 2% worker', '$225 billion', etc.) found none because CW operates at a different level of abstraction than the technical analytical documents. This is an appropriate scope choice for CW; not a finding.</w:t>
      </w:r>
    </w:p>
    <w:p>
      <w:pPr>
        <w:spacing w:after="240" w:before="480"/>
      </w:pPr>
      <w:r>
        <w:rPr>
          <w:rFonts w:ascii="Arial" w:cs="Arial" w:eastAsia="Arial" w:hAnsi="Arial"/>
          <w:b/>
          <w:bCs/>
          <w:color w:val="1F4E78"/>
          <w:sz w:val="36"/>
          <w:szCs w:val="36"/>
        </w:rPr>
        <w:t>On the recursive meta-trigger pattern at occurrence eight. The pattern continues to recur despite explicit awareness and active prevention efforts in each iteration. Iteration 21 caught the pattern in OIR Section 31 and item 80 iter-summary paragraph during in-iteration verification (a first), but missed it in the three narrative documentation locations (README, VERSIONLOG, Package Version doc). The narrative locations are particularly vulnerable because: (a) the descriptive language in changelogs is naturally compressed and quoting the literal text feels concise; (b) the same fix description tends to appear in three different files written at slightly different times; (c) the meta-aware verification typically focuses on the substantive document changes rather than the changelog narratives. Process improvement candidate from iteration 19 (audit-script extension to flag literal-text patterns in narrative blocks before shipping) remains a candidate — implementation would catch this pattern at iteration N rather than letting iteration N+1 detect it.</w:t>
      </w:r>
    </w:p>
    <w:p>
      <w:pPr>
        <w:spacing w:after="240" w:before="480"/>
      </w:pPr>
      <w:r>
        <w:rPr>
          <w:rFonts w:ascii="Arial" w:cs="Arial" w:eastAsia="Arial" w:hAnsi="Arial"/>
          <w:b/>
          <w:bCs/>
          <w:color w:val="1F4E78"/>
          <w:sz w:val="36"/>
          <w:szCs w:val="36"/>
        </w:rPr>
        <w:t>Open issues remaining after v2.30.10. OPEN-1, OPEN-2, PROC-2, OPEN-3 (substantively addressed) status unchanged. Item 79's three open questions remain. RESEARCH and PROCESS items continue. Slideshow content sync remains closed. Possible next substantive work: (a) audit v2.30.10 to verify these rewrites didn't reintroduce or introduce new patterns;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33: v2.30.11 Iteration 23 Hardening Pass</w:t>
      </w:r>
    </w:p>
    <w:p>
      <w:pPr>
        <w:spacing w:after="240" w:before="480"/>
      </w:pPr>
      <w:r>
        <w:rPr>
          <w:rFonts w:ascii="Arial" w:cs="Arial" w:eastAsia="Arial" w:hAnsi="Arial"/>
          <w:b/>
          <w:bCs/>
          <w:color w:val="1F4E78"/>
          <w:sz w:val="36"/>
          <w:szCs w:val="36"/>
        </w:rPr>
        <w:t>v2.30.11 is the twenty-third iteration of Jason's iterative hardening cycle. The audit on v2.30.10 state used a case-insensitive sweep angle (the prior audit had been case-sensitive and missed capitalized variants) and a fixed section-header detection (the prior audit's regex matched 'Section N:' references in OIR version-line metadata rather than the actual section header, leading the Section 32 self-check to falsely report clean). Five findings: four pre-existing meta-trigger occurrences in OIR Section 31 (the iter 21 documentation that was shipped before iter 22's narrative cleanup, but Section 31 itself was not cleaned) plus one new meta-trigger in OIR Section 32 (capitalized variant the case-sensitive audit missed). Counting these together, this is the ninth occurrence of the recursive meta-trigger pattern across the cycle (iterations 10, 11, 13, 14, 15, 19, 21, 22, 23).</w:t>
      </w:r>
    </w:p>
    <w:p>
      <w:pPr>
        <w:spacing w:after="240" w:before="480"/>
      </w:pPr>
      <w:r>
        <w:rPr>
          <w:rFonts w:ascii="Arial" w:cs="Arial" w:eastAsia="Arial" w:hAnsi="Arial"/>
          <w:b/>
          <w:bCs/>
          <w:color w:val="1F4E78"/>
          <w:sz w:val="36"/>
          <w:szCs w:val="36"/>
        </w:rPr>
        <w:t>Findings mitigated. META-TRIGGER recurrences in OIR Sections 31 and 32. Section 31 contained four iteration-count quotes in a single 'use generalized language' parenthetical block describing the iter 21 mitigation, plus one in the I80-CONTENT-STALE finding intro. Mitigation: rewrote the parenthetical block using descriptive language characterizing the changes rather than quoting the before/after phrasings; rewrote the finding intro to use 'iteration-count language' instead of the literal quote. Section 32 contained one capitalized iteration-count quote inside a parenthetical confirming the iter 21 mitigation held. Mitigation: rewrote the parenthetical to characterize what the audit-angles section header now references rather than quoting what it does not.</w:t>
      </w:r>
    </w:p>
    <w:p>
      <w:pPr>
        <w:spacing w:after="240" w:before="480"/>
      </w:pPr>
      <w:r>
        <w:rPr>
          <w:rFonts w:ascii="Arial" w:cs="Arial" w:eastAsia="Arial" w:hAnsi="Arial"/>
          <w:b/>
          <w:bCs/>
          <w:color w:val="1F4E78"/>
          <w:sz w:val="36"/>
          <w:szCs w:val="36"/>
        </w:rPr>
        <w:t>Audit-script limitations distinguished. Two limitations made this iteration's findings invisible to prior audits. First, case-sensitivity: prior audits used case-sensitive substring searches that missed capitalized variants. Iteration 23 used case-insensitive regex (re.IGNORECASE flag). Second, section-header detection: OIR's version-line metadata at the top of the document contains 'Section N: ...' references describing what each version added; prior audit regex matched the FIRST occurrence of 'Section N:' which was in the version-line metadata, not the actual section header. Iteration 23 fixed this by finding the LAST paragraph index that starts with 'Section N:' (the actual section header). Both limitations are now noted in the audit-script improvement candidate list (joining the iteration 19 narrative-block literal-text detection candidate).</w:t>
      </w:r>
    </w:p>
    <w:p>
      <w:pPr>
        <w:spacing w:after="240" w:before="480"/>
      </w:pPr>
      <w:r>
        <w:rPr>
          <w:rFonts w:ascii="Arial" w:cs="Arial" w:eastAsia="Arial" w:hAnsi="Arial"/>
          <w:b/>
          <w:bCs/>
          <w:color w:val="1F4E78"/>
          <w:sz w:val="36"/>
          <w:szCs w:val="36"/>
        </w:rPr>
        <w:t>What this iteration confirmed working. v2.30.10 narrative location mitigations still hold (README v2.30.9 entry, VERSIONLOG v2.30.9 FINDINGS MITIGATED block, Package Version doc v2.30.9 changelog all clean of iteration-count quotes, case-insensitive verified). PCB content audit at confirmed correct path: PCB is 62K characters with $250K, $500K, $1M, and $50M thresholds present (the expected canonical thresholds); no item-references (PCB doesn't use 'item N' cross-reference convention; it uses descriptive names instead). Calculator HTML verified at correct path with all 10/10 expected canonical constants. OIR cross-references all valid (1-81 range). Manifest integrity clean (zero orphans). README and VERSIONLOG entries current.</w:t>
      </w:r>
    </w:p>
    <w:p>
      <w:pPr>
        <w:spacing w:after="240" w:before="480"/>
      </w:pPr>
      <w:r>
        <w:rPr>
          <w:rFonts w:ascii="Arial" w:cs="Arial" w:eastAsia="Arial" w:hAnsi="Arial"/>
          <w:b/>
          <w:bCs/>
          <w:color w:val="1F4E78"/>
          <w:sz w:val="36"/>
          <w:szCs w:val="36"/>
        </w:rPr>
        <w:t>On the recursive meta-trigger pattern at occurrence nine. The pattern continues to recur. Iteration 22 caught the pattern in three narrative documentation locations (README, VERSIONLOG, Package Version doc) but missed the pattern's presence in OIR Sections 31 and 32 because of audit-script limitations. With the case-insensitive and proper-section-header limitations now fixed, future iterations should not have this particular blind spot. The pattern's persistence after nine occurrences strongly suggests that the candidate process improvement (audit-script extension to flag literal-text patterns in narrative blocks before shipping) should be implemented before subsequent iterations introduce new narrative descriptions of fixes to literal-text issues.</w:t>
      </w:r>
    </w:p>
    <w:p>
      <w:pPr>
        <w:spacing w:after="240" w:before="480"/>
      </w:pPr>
      <w:r>
        <w:rPr>
          <w:rFonts w:ascii="Arial" w:cs="Arial" w:eastAsia="Arial" w:hAnsi="Arial"/>
          <w:b/>
          <w:bCs/>
          <w:color w:val="1F4E78"/>
          <w:sz w:val="36"/>
          <w:szCs w:val="36"/>
        </w:rPr>
        <w:t>Open issues remaining after v2.30.11. OPEN-1, OPEN-2, PROC-2, OPEN-3 (substantively addressed) status unchanged. Item 79's three open questions remain. RESEARCH and PROCESS items continue. Slideshow content sync remains closed. Possible next substantive work: (a) audit v2.30.11 with case-insensitive sweep across all docs (not just OIR) to verify no other capitalized variants are lurking;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34: v2.30.12 Audit-Script Whitelist Implementation</w:t>
      </w:r>
    </w:p>
    <w:p>
      <w:pPr>
        <w:spacing w:after="240" w:before="480"/>
      </w:pPr>
      <w:r>
        <w:rPr>
          <w:rFonts w:ascii="Arial" w:cs="Arial" w:eastAsia="Arial" w:hAnsi="Arial"/>
          <w:b/>
          <w:bCs/>
          <w:color w:val="1F4E78"/>
          <w:sz w:val="36"/>
          <w:szCs w:val="36"/>
        </w:rPr>
        <w:t>v2.30.12 implements the audit-script whitelist policy proposed in Section 33's iteration 23 audit findings. This is not a hardening pass per se but rather a process improvement to the hardening cycle's tooling, addressing the persistent issue of false-positive audit findings caused by legitimate historical references and previously-documented meta-trigger instances. The recursive meta-trigger pattern had recurred nine times across iterations 10, 11, 13, 14, 15, 19, 21, 22, and 23; in addition, several iterations encountered false positives where the audit flagged legitimate historical content as if it were a current concern. The whitelist policy addresses both.</w:t>
      </w:r>
    </w:p>
    <w:p>
      <w:pPr>
        <w:spacing w:after="240" w:before="480"/>
      </w:pPr>
      <w:r>
        <w:rPr>
          <w:rFonts w:ascii="Arial" w:cs="Arial" w:eastAsia="Arial" w:hAnsi="Arial"/>
          <w:b/>
          <w:bCs/>
          <w:color w:val="1F4E78"/>
          <w:sz w:val="36"/>
          <w:szCs w:val="36"/>
        </w:rPr>
        <w:t>Implementation. A new section 'Audit-Script Whitelist Policy' was added to Iterative Hardening Process Documentation explaining the policy and its maintenance. Six initial whitelist entries were documented in a table within item 80, covering the false positives identified through iteration 23. Three entries cover legitimate historical references (item 80's version line; OIR Section 21's v2.29 expansion entry; Package Version doc v2.30 changelog entry). Three entries cover previously-documented meta-trigger instances (OIR Section 29's iteration 18 documentation; OIR Section 30's iteration 19 verification; Package Version doc v2.30.7 changelog). Each entry includes a file pattern, a distinctive phrase that locates the paragraph, the audit pattern being exempted, the exemption category, and the reason for the exemption.</w:t>
      </w:r>
    </w:p>
    <w:p>
      <w:pPr>
        <w:spacing w:after="240" w:before="480"/>
      </w:pPr>
      <w:r>
        <w:rPr>
          <w:rFonts w:ascii="Arial" w:cs="Arial" w:eastAsia="Arial" w:hAnsi="Arial"/>
          <w:b/>
          <w:bCs/>
          <w:color w:val="1F4E78"/>
          <w:sz w:val="36"/>
          <w:szCs w:val="36"/>
        </w:rPr>
        <w:t>Audit script behavior with whitelist. When the audit script detects a paragraph matching an audit pattern, it now checks whether the paragraph also contains any whitelist entry's distinctive phrase that exempts the matched pattern. Matches that are exempted are logged as 'whitelisted' rather than flagged as findings, preserving transparency about why each known-stable occurrence is not being reported. New occurrences of the same pattern in non-whitelisted paragraphs continue to be flagged normally. This preserves the audit's signal value while suppressing noise.</w:t>
      </w:r>
    </w:p>
    <w:p>
      <w:pPr>
        <w:spacing w:after="240" w:before="480"/>
      </w:pPr>
      <w:r>
        <w:rPr>
          <w:rFonts w:ascii="Arial" w:cs="Arial" w:eastAsia="Arial" w:hAnsi="Arial"/>
          <w:b/>
          <w:bCs/>
          <w:color w:val="1F4E78"/>
          <w:sz w:val="36"/>
          <w:szCs w:val="36"/>
        </w:rPr>
        <w:t>What this approach does and does not address. The whitelist successfully prevents the false-positive findings that have accumulated across recent iterations (the six remaining case-insensitive iteration-count occurrences in v2.30.11 are all covered by the initial whitelist entries). The whitelist does not, however, prevent new occurrences of the recursive meta-trigger pattern from being introduced when documenting fixes — if iteration 25 documents a fix to a literal-text issue and quotes the literal text in the documentation, the audit will correctly catch it. The deeper fix for that pattern (adopting a documentation convention of describing changes abstractly rather than quoting before/after literal text) remains discipline rather than tooling. Both improvements are compatible: the whitelist suppresses noise from already-documented instances, and the documentation discipline prevents new instances from being introduced.</w:t>
      </w:r>
    </w:p>
    <w:p>
      <w:pPr>
        <w:spacing w:after="240" w:before="480"/>
      </w:pPr>
      <w:r>
        <w:rPr>
          <w:rFonts w:ascii="Arial" w:cs="Arial" w:eastAsia="Arial" w:hAnsi="Arial"/>
          <w:b/>
          <w:bCs/>
          <w:color w:val="1F4E78"/>
          <w:sz w:val="36"/>
          <w:szCs w:val="36"/>
        </w:rPr>
        <w:t>Maintenance commitment. The whitelist is part of item 80 to ensure it is auditable, version-controlled, and discoverable by anyone reviewing the hardening process. When future iterations identify legitimate false positives that the whitelist should handle, new entries should be added. When future iterations modify paragraphs that are referenced by whitelist entries, the entries should be reviewed for continued accuracy. Entries should be conservative: when in doubt, the audit should flag rather than whitelist. The whitelist is intended to suppress noise from known-stable references, not to suppress signal from new patterns.</w:t>
      </w:r>
    </w:p>
    <w:p>
      <w:pPr>
        <w:spacing w:after="240" w:before="480"/>
      </w:pPr>
      <w:r>
        <w:rPr>
          <w:rFonts w:ascii="Arial" w:cs="Arial" w:eastAsia="Arial" w:hAnsi="Arial"/>
          <w:b/>
          <w:bCs/>
          <w:color w:val="1F4E78"/>
          <w:sz w:val="36"/>
          <w:szCs w:val="36"/>
        </w:rPr>
        <w:t>Open issues remaining after v2.30.12. OPEN-1, OPEN-2, PROC-2, OPEN-3 (substantively addressed) status unchanged. Item 79's three open questions remain. RESEARCH and PROCESS items continue. Slideshow content sync remains closed. Possible next substantive work: (a) verify the whitelist works correctly by running iteration 24's audit with the new policy applied; (b) substantively address Item 79's three open questions; (c) Reader's Path Through Resolved Open Issues; (d) tribal nation consultation framework expansion.</w:t>
      </w:r>
    </w:p>
    <w:p>
      <w:pPr>
        <w:pStyle w:val="Heading1"/>
      </w:pPr>
      <w:r>
        <w:t>Section 35: v2.30.13 Iteration 25 Hardening Pass</w:t>
      </w:r>
    </w:p>
    <w:p>
      <w:pPr>
        <w:spacing w:after="240" w:before="480"/>
      </w:pPr>
      <w:r>
        <w:rPr>
          <w:rFonts w:ascii="Arial" w:cs="Arial" w:eastAsia="Arial" w:hAnsi="Arial"/>
          <w:b/>
          <w:bCs/>
          <w:color w:val="1F4E78"/>
          <w:sz w:val="36"/>
          <w:szCs w:val="36"/>
        </w:rPr>
        <w:t>v2.30.13 is the twenty-fifth iteration of Jason's iterative hardening cycle, and the second iteration to use the whitelist policy implemented in v2.30.12. The audit on v2.30.12 took a fresh angle: comprehensive numerical/canonical-decision consistency sweep across all docs (looking for stale healthcare rates predating OPEN-1, key revenue-figure variance, and propagation of canonical OPEN-1/OPEN-2 phrasing). The audit also confirmed that the v2.30.12 whitelist continued to function correctly: 7 case-insensitive iteration-count occurrences classified as whitelisted, 0 flagged. One new finding from the comprehensive sweep: the OPEN-1 entry in OIR Section 2 (which documents the four pre-canonical healthcare rate variations that OPEN-1 v2.26.3 resolved) was flagged because its text contains the literal '6 percent employer' phrasing that the audit's stale-health-rate pattern detected.</w:t>
      </w:r>
    </w:p>
    <w:p>
      <w:pPr>
        <w:spacing w:after="240" w:before="480"/>
      </w:pPr>
      <w:r>
        <w:rPr>
          <w:rFonts w:ascii="Arial" w:cs="Arial" w:eastAsia="Arial" w:hAnsi="Arial"/>
          <w:b/>
          <w:bCs/>
          <w:color w:val="1F4E78"/>
          <w:sz w:val="36"/>
          <w:szCs w:val="36"/>
        </w:rPr>
        <w:t>Findings mitigated. STALE-HEALTH-RATE in OIR Section 2 OPEN-1 entry (1 instance, MIN, false positive): the OPEN-1 entry's 'What the platform claims' paragraph lists four pre-canonical healthcare rate variations (variant a: 4% employer / 2% employee canonical; variant b: 6 percent employer / 4 percent employee from the Universal Healthcare Model spreadsheet's Assumptions sheet; variant c: 5.08 percent effective from FFIA back-calculation; variant d: 4 percent flat in Calculator JavaScript). The audit's stale-health-rate pattern correctly detected variant b's '6 percent employer' phrasing, but the paragraph is documenting the historical inconsistency that OPEN-1 resolved — not asserting a current claim. Mitigation: extended the whitelist with a seventh entry covering this paragraph. The whitelist policy's design anticipated this category of false positive (Category 2: previously-documented inconsistencies); iteration 25 is the first iteration to add a non-iteration-count whitelist entry.</w:t>
      </w:r>
    </w:p>
    <w:p>
      <w:pPr>
        <w:spacing w:after="240" w:before="480"/>
      </w:pPr>
      <w:r>
        <w:rPr>
          <w:rFonts w:ascii="Arial" w:cs="Arial" w:eastAsia="Arial" w:hAnsi="Arial"/>
          <w:b/>
          <w:bCs/>
          <w:color w:val="1F4E78"/>
          <w:sz w:val="36"/>
          <w:szCs w:val="36"/>
        </w:rPr>
        <w:t>What this iteration confirmed working. The v2.30.12 whitelist continues to function correctly. v2.30.12 mitigations all verified (item 80 has the new 'Audit-Script Whitelist Policy' section and 'Initial Whitelist Entries' section; OIR Section 34 present; whitelist entry validation: all 6 initial entries' distinctive phrases find real paragraphs). The audit's [HISTORICAL] heuristic successfully classified four occurrences as historical references (in OIR Section 27 documenting v2.30.5 slideshow sync, in DTRT, in Package Version doc) without needing whitelist entries because they used keywords like 'old', 'previous', 'changed from'. Cross-references all valid (1-81 range). Manifest integrity clean (zero orphans). README and VERSIONLOG entries current.</w:t>
      </w:r>
    </w:p>
    <w:p>
      <w:pPr>
        <w:spacing w:after="240" w:before="480"/>
      </w:pPr>
      <w:r>
        <w:rPr>
          <w:rFonts w:ascii="Arial" w:cs="Arial" w:eastAsia="Arial" w:hAnsi="Arial"/>
          <w:b/>
          <w:bCs/>
          <w:color w:val="1F4E78"/>
          <w:sz w:val="36"/>
          <w:szCs w:val="36"/>
        </w:rPr>
        <w:t>On the comprehensive numerical sweep results. Key revenue figures show consistent cross-doc usage: $660 billion for healthcare contribution appears in OIR, State-Level Cooperation Requirements, FFIA, and WTMFY; $230 billion for childcare + MH combined appears in OIR, item 81, FFIA; $3.6 trillion for total new revenue appears in 6 docs including TOC and Package Version. The v2.30 refined wealth-tax-architecture combined figure of $225 billion appears in 7 docs (OIR, DTRT, item 81, FFIA, WFA, WTMFY, plus one more). The pre-v2.30 $200 billion still appears in 8 docs but check 4 verified that all remaining instances are in non-wealth-tax contexts (Medicaid long-term care, carbon tax revenue, etc.) or in historical iteration-documentation contexts — no real out-of-date references in current wealth-tax content. The cascading-numerical-update mitigation from iteration 14 (v2.30.2) has held.</w:t>
      </w:r>
    </w:p>
    <w:p>
      <w:pPr>
        <w:spacing w:after="240" w:before="480"/>
      </w:pPr>
      <w:r>
        <w:rPr>
          <w:rFonts w:ascii="Arial" w:cs="Arial" w:eastAsia="Arial" w:hAnsi="Arial"/>
          <w:b/>
          <w:bCs/>
          <w:color w:val="1F4E78"/>
          <w:sz w:val="36"/>
          <w:szCs w:val="36"/>
        </w:rPr>
        <w:t>Open issues remaining after v2.30.13. OPEN-1, OPEN-2, PROC-2, OPEN-3 (substantively addressed) status unchanged. Item 79's three open questions remain. RESEARCH and PROCESS items continue. Slideshow content sync remains closed. Possible next substantive work: (a) audit v2.30.13 to verify the new whitelist entry works correctly; (b) substantively address Item 79's three open questions; (c) Reader's Path Through Resolved Open Issues; (d) tribal nation consultation framework expansion.</w:t>
      </w:r>
    </w:p>
    <w:p>
      <w:pPr>
        <w:pStyle w:val="Heading1"/>
      </w:pPr>
      <w:r>
        <w:t>Section 36: v2.30.14 Iteration 26 Hardening Pass</w:t>
      </w:r>
    </w:p>
    <w:p>
      <w:pPr>
        <w:spacing w:after="240" w:before="480"/>
      </w:pPr>
      <w:r>
        <w:rPr>
          <w:rFonts w:ascii="Arial" w:cs="Arial" w:eastAsia="Arial" w:hAnsi="Arial"/>
          <w:b/>
          <w:bCs/>
          <w:color w:val="1F4E78"/>
          <w:sz w:val="36"/>
          <w:szCs w:val="36"/>
        </w:rPr>
        <w:t>v2.30.14 is the twenty-sixth iteration of Jason's iterative hardening cycle and the third iteration to use the whitelist policy. The audit on v2.30.13 took fresh angles: TOC entry titles vs actual document titles consistency check; OIR Section 1 introduction staleness; v2.30.13 whitelist verification; Section 35 self-check. One real finding: the recursive meta-trigger pattern recurred in two v2.30.13 narrative documentation locations (Package Version doc changelog and README entry). This is the tenth occurrence of the pattern across the cycle; the v2.30.13 narratives quoted the iteration-count phrasing literally when describing the audit's iteration-count sweep results.</w:t>
      </w:r>
    </w:p>
    <w:p>
      <w:pPr>
        <w:spacing w:after="240" w:before="480"/>
      </w:pPr>
      <w:r>
        <w:rPr>
          <w:rFonts w:ascii="Arial" w:cs="Arial" w:eastAsia="Arial" w:hAnsi="Arial"/>
          <w:b/>
          <w:bCs/>
          <w:color w:val="1F4E78"/>
          <w:sz w:val="36"/>
          <w:szCs w:val="36"/>
        </w:rPr>
        <w:t>Findings mitigated. META-TRIGGER recurrence (2 instances, MIN): Package Version doc v2.30.13 changelog and README v2.30.13 entry both used the literal iteration-count phrase inside quotes when describing 'iteration-count sweep with whitelist applied: 7 whitelisted, 0 flagged'. Mitigation: rewrote both narratives to use 'iteration-count' as the abstracted descriptor rather than quoting the specific phrase. VERSIONLOG v2.30.13 entry was clean (0 occurrences) demonstrating that the lesson can be applied at write-time when verification is active.</w:t>
      </w:r>
    </w:p>
    <w:p>
      <w:pPr>
        <w:spacing w:after="240" w:before="480"/>
      </w:pPr>
      <w:r>
        <w:rPr>
          <w:rFonts w:ascii="Arial" w:cs="Arial" w:eastAsia="Arial" w:hAnsi="Arial"/>
          <w:b/>
          <w:bCs/>
          <w:color w:val="1F4E78"/>
          <w:sz w:val="36"/>
          <w:szCs w:val="36"/>
        </w:rPr>
        <w:t>Audit-script observations. Section 35 (the iter 25 documentation in OIR) was flagged by Check 4's section self-check as having 2 unwhitelisted references to '6 percent employer'. However, Check 6's full sweep classified those same references as appropriately historical via the [HISTORICAL] heuristic (Section 35 documents the OIR OPEN-1 entry's pre-canonical healthcare rate variations using phrases like 'predating OPEN-1' that the heuristic correctly identifies). The section self-check in Check 4 didn't apply the heuristic, so it produced a false positive for those occurrences — a Check 4 audit-script limitation rather than a real finding. Future audit-script improvements should harmonize the section self-check with the full sweep's heuristic logic.</w:t>
      </w:r>
    </w:p>
    <w:p>
      <w:pPr>
        <w:spacing w:after="240" w:before="480"/>
      </w:pPr>
      <w:r>
        <w:rPr>
          <w:rFonts w:ascii="Arial" w:cs="Arial" w:eastAsia="Arial" w:hAnsi="Arial"/>
          <w:b/>
          <w:bCs/>
          <w:color w:val="1F4E78"/>
          <w:sz w:val="36"/>
          <w:szCs w:val="36"/>
        </w:rPr>
        <w:t>What this iteration confirmed working. v2.30.13 mitigations all verified: item 80 whitelist table has 7 entries (the v2.30.13 extension is present); whitelist validation: all 7 entries' distinctive phrases find real paragraphs. TOC entry titles vs actual document titles: 3 items have detectable 'Item N: Title' H1 structure that exactly matches their TOC entries (most items use a different title-paragraph structure that the audit's 'Item N:' regex doesn't detect; this is an audit-script limitation, not a real finding). OIR Section 1 introduction doesn't contain a 'N sections' claim that needs updating (the introductory structure description doesn't commit to a count). Cross-references all valid (1-81 range). Manifest integrity clean (zero orphans). Manifest version sync verified for both v2.30.13-bumped docs (item 80 v1.3, OIR v1.31).</w:t>
      </w:r>
    </w:p>
    <w:p>
      <w:pPr>
        <w:spacing w:after="240" w:before="480"/>
      </w:pPr>
      <w:r>
        <w:rPr>
          <w:rFonts w:ascii="Arial" w:cs="Arial" w:eastAsia="Arial" w:hAnsi="Arial"/>
          <w:b/>
          <w:bCs/>
          <w:color w:val="1F4E78"/>
          <w:sz w:val="36"/>
          <w:szCs w:val="36"/>
        </w:rPr>
        <w:t>On the recurring recursive meta-trigger pattern at occurrence ten. The pattern continues to recur in v2.30.13's narrative documentation despite the explicit verification efforts in v2.30.12 and v2.30.14. The whitelist policy (v2.30.12) successfully suppresses noise from already-documented instances but does not prevent new instances from being introduced when documenting fixes. The pattern's persistence suggests the candidate process improvement (audit-script extension to flag literal-text patterns in narrative blocks before shipping) would be a meaningful complement to the whitelist policy. Iteration 20's lesson — that abstracted descriptive language in narratives prevents the pattern — has been applied successfully in some narratives (VERSIONLOG v2.30.13 was clean) but not consistently across all three narrative locations per iteration.</w:t>
      </w:r>
    </w:p>
    <w:p>
      <w:pPr>
        <w:spacing w:after="240" w:before="480"/>
      </w:pPr>
      <w:r>
        <w:rPr>
          <w:rFonts w:ascii="Arial" w:cs="Arial" w:eastAsia="Arial" w:hAnsi="Arial"/>
          <w:b/>
          <w:bCs/>
          <w:color w:val="1F4E78"/>
          <w:sz w:val="36"/>
          <w:szCs w:val="36"/>
        </w:rPr>
        <w:t>Open issues remaining after v2.30.14. OPEN-1, OPEN-2, PROC-2, OPEN-3 (substantively addressed) status unchanged. Item 79's three open questions remain. RESEARCH and PROCESS items continue. Slideshow content sync remains closed. Possible next substantive work: (a) audit v2.30.14 to verify these narrative rewrites didn't introduce new instances;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37: v2.30.15 Iteration 27 Hardening Pass</w:t>
      </w:r>
    </w:p>
    <w:p>
      <w:pPr>
        <w:spacing w:after="240" w:before="480"/>
      </w:pPr>
      <w:r>
        <w:rPr>
          <w:rFonts w:ascii="Arial" w:cs="Arial" w:eastAsia="Arial" w:hAnsi="Arial"/>
          <w:b/>
          <w:bCs/>
          <w:color w:val="1F4E78"/>
          <w:sz w:val="36"/>
          <w:szCs w:val="36"/>
        </w:rPr>
        <w:t>v2.30.15 is the twenty-seventh iteration of Jason's iterative hardening cycle and the fourth iteration to use the whitelist policy. The audit on v2.30.14 took fresh angles: v2.30.14 mitigation verification (Package Version doc and README v2.30.13 narrative rewrites; Section 36); Section 36 self-check; the pre-existing README line that iteration 26 noted but did not mitigate; VERSIONLOG case-insensitive sweep across all version entries. One real finding: the pre-existing README v2.29 entry's item 80 descriptor still used present-tense phrasing about the cycle's iteration count that was accurate at v2.29 (when item 80 was created) but became misleading as iterations continued (the cycle has now completed twenty-seven iterations).</w:t>
      </w:r>
    </w:p>
    <w:p>
      <w:pPr>
        <w:spacing w:after="240" w:before="480"/>
      </w:pPr>
      <w:r>
        <w:rPr>
          <w:rFonts w:ascii="Arial" w:cs="Arial" w:eastAsia="Arial" w:hAnsi="Arial"/>
          <w:b/>
          <w:bCs/>
          <w:color w:val="1F4E78"/>
          <w:sz w:val="36"/>
          <w:szCs w:val="36"/>
        </w:rPr>
        <w:t>Findings mitigated. README-LINE-PREEXISTING (1 instance, MIN): the README's v2.29 changelog entry described item 80 with present-tense phrasing about a specific iteration count that was accurate at v2.29 but became misleading. This descriptor was identified for update in iteration 22's mitigation work but the v2.30.10 fix did not apply due to README line-wrapping (the search pattern did not account for the embedded line break between 'hardening' and 'cycle'). Iteration 27's audit found the unfixed instance via a non-changelog content scan. Mitigation: rewrote the descriptor to use 'lessons learned across the hardening cycle's iterations to date as of' — generalized phrasing that does not commit to a specific iteration count and remains accurate as the cycle continues.</w:t>
      </w:r>
    </w:p>
    <w:p>
      <w:pPr>
        <w:spacing w:after="240" w:before="480"/>
      </w:pPr>
      <w:r>
        <w:rPr>
          <w:rFonts w:ascii="Arial" w:cs="Arial" w:eastAsia="Arial" w:hAnsi="Arial"/>
          <w:b/>
          <w:bCs/>
          <w:color w:val="1F4E78"/>
          <w:sz w:val="36"/>
          <w:szCs w:val="36"/>
        </w:rPr>
        <w:t>What this iteration confirmed working. v2.30.14 mitigations all verified: Package Version doc v2.30.13 entry has 0 iteration-count quotes (post-fix); README v2.30.13 entry has 0 (post-fix); OIR Section 36 present and self-check clean. Full sweep with whitelist + heuristic: 7 whitelisted, 0 historical, 0 flagged (the audit's own current-iteration narratives didn't introduce new patterns). VERSIONLOG case-insensitive sweep: only v2.30.12 entry has iteration-count text (2 occurrences), which is appropriate (the v2.30.12 entry documents the whitelist policy entries themselves). v2.30.14 narrative locations in all three files (Package Version doc, README, VERSIONLOG): 0 occurrences. Cross-references all valid (1-81 range). Manifest integrity clean. Manifest version sync verified (OIR v1.32).</w:t>
      </w:r>
    </w:p>
    <w:p>
      <w:pPr>
        <w:spacing w:after="240" w:before="480"/>
      </w:pPr>
      <w:r>
        <w:rPr>
          <w:rFonts w:ascii="Arial" w:cs="Arial" w:eastAsia="Arial" w:hAnsi="Arial"/>
          <w:b/>
          <w:bCs/>
          <w:color w:val="1F4E78"/>
          <w:sz w:val="36"/>
          <w:szCs w:val="36"/>
        </w:rPr>
        <w:t>On the recursive meta-trigger pattern. After ten occurrences (iterations 10, 11, 13, 14, 15, 19, 21, 22, 23, 26), iteration 27 is the first iteration since iteration 22's whitelist work where the meta-trigger pattern did not recur in any v2.30.X.Y narrative location. The mitigations in v2.30.14 (rewriting Package Version doc and README v2.30.13 narratives to use 'iteration-count' as the abstracted descriptor) were applied at write-time to v2.30.14's own narratives and held. Whether this represents stable adoption of the documentation discipline or simply a single-iteration absence is observable only over more iterations.</w:t>
      </w:r>
    </w:p>
    <w:p>
      <w:pPr>
        <w:spacing w:after="240" w:before="480"/>
      </w:pPr>
      <w:r>
        <w:rPr>
          <w:rFonts w:ascii="Arial" w:cs="Arial" w:eastAsia="Arial" w:hAnsi="Arial"/>
          <w:b/>
          <w:bCs/>
          <w:color w:val="1F4E78"/>
          <w:sz w:val="36"/>
          <w:szCs w:val="36"/>
        </w:rPr>
        <w:t>Open issues remaining after v2.30.15. OPEN-1, OPEN-2, PROC-2, OPEN-3 (substantively addressed) status unchanged. Item 79's three open questions remain. RESEARCH and PROCESS items continue. Slideshow content sync remains closed. Possible next substantive work: (a) audit v2.30.15 to verify the narrative additions didn't reintroduce patterns;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38: v2.30.16 Iteration 28 Hardening Pass</w:t>
      </w:r>
    </w:p>
    <w:p>
      <w:pPr>
        <w:spacing w:after="240" w:before="480"/>
      </w:pPr>
      <w:r>
        <w:rPr>
          <w:rFonts w:ascii="Arial" w:cs="Arial" w:eastAsia="Arial" w:hAnsi="Arial"/>
          <w:b/>
          <w:bCs/>
          <w:color w:val="1F4E78"/>
          <w:sz w:val="36"/>
          <w:szCs w:val="36"/>
        </w:rPr>
        <w:t>v2.30.16 is the twenty-eighth iteration of Jason's iterative hardening cycle and the fifth iteration to use the whitelist policy. The audit on v2.30.15 took fresh angles: v2.30.15 mitigation verification (README v2.29 entry fix and Section 37); canonical OPEN-1 and OPEN-2 phrasing propagation across key docs (positive check); Section 37 self-check. Three findings, all instances of the recursive meta-trigger pattern recurring in v2.30.15's narrative documentation of iteration 27's mitigation (eleventh occurrence across the cycle).</w:t>
      </w:r>
    </w:p>
    <w:p>
      <w:pPr>
        <w:spacing w:after="240" w:before="480"/>
      </w:pPr>
      <w:r>
        <w:rPr>
          <w:rFonts w:ascii="Arial" w:cs="Arial" w:eastAsia="Arial" w:hAnsi="Arial"/>
          <w:b/>
          <w:bCs/>
          <w:color w:val="1F4E78"/>
          <w:sz w:val="36"/>
          <w:szCs w:val="36"/>
        </w:rPr>
        <w:t>Findings mitigated. META-TRIGGER recurrence (3 instances, MIN) in v2.30.15 narrative locations: VERSIONLOG v2.30.15 FINDINGS MITIGATED block (1 occurrence); Package Version doc v2.30.15 changelog narrative (1 occurrence); OIR Section 37 (2 occurrences in the same paragraph). The mitigations all involved describing the iteration 27 README fix by quoting the literal phrasing being changed. Mitigation: rewrote all narrative blocks using abstracted descriptions of the issue without quoting the original phrasing (descriptions like 'present-tense phrasing about the cycle's iteration count that was accurate at v2.29 but became misleading as iterations continued'). Iteration 27 had succeeded in keeping v2.30.14's narratives clean of the pattern; iteration 28 demonstrates that single-iteration absence does not yet represent stable adoption.</w:t>
      </w:r>
    </w:p>
    <w:p>
      <w:pPr>
        <w:spacing w:after="240" w:before="480"/>
      </w:pPr>
      <w:r>
        <w:rPr>
          <w:rFonts w:ascii="Arial" w:cs="Arial" w:eastAsia="Arial" w:hAnsi="Arial"/>
          <w:b/>
          <w:bCs/>
          <w:color w:val="1F4E78"/>
          <w:sz w:val="36"/>
          <w:szCs w:val="36"/>
        </w:rPr>
        <w:t>What this iteration confirmed working. v2.30.15 substantive mitigation held: the README has 0 references to the iteration-count phrasing after the v2.29 entry fix. OIR Section 37 forward refs clean. Standard sweep with whitelist + heuristic: 7 whitelisted, 2 historical (correctly classified), 1 flagged that this iteration mitigated. Cross-references all valid (1-81 range). Manifest integrity clean (zero orphans). Manifest version sync verified (OIR v1.33). Canonical phrasing propagation positive check produced encouraging results: all five OPEN-2-using docs have all four canonical markers (graduated, $250K threshold, 0.5% wealth surcharge, 2.5% wealth tax); three of five OPEN-1-using docs have both 4% employer and 2% worker phrasings (FFIA, WTMFY, DTRT); two (Healthcare Transition Detailed Plan, PCB) do not have these specific patterns but use other phrasings appropriate to their structure.</w:t>
      </w:r>
    </w:p>
    <w:p>
      <w:pPr>
        <w:spacing w:after="240" w:before="480"/>
      </w:pPr>
      <w:r>
        <w:rPr>
          <w:rFonts w:ascii="Arial" w:cs="Arial" w:eastAsia="Arial" w:hAnsi="Arial"/>
          <w:b/>
          <w:bCs/>
          <w:color w:val="1F4E78"/>
          <w:sz w:val="36"/>
          <w:szCs w:val="36"/>
        </w:rPr>
        <w:t>On the recursive meta-trigger pattern at occurrence eleven. The pattern's extreme persistence (now eleven occurrences across iterations 10, 11, 13, 14, 15, 19, 21, 22, 23, 26, 28) suggests that the documentation discipline alone is not sufficient as a prevention mechanism. The candidate process improvement (audit-script extension to flag literal-text patterns in narrative blocks before shipping) remains the meaningful complement. Without that extension, the pattern will continue to recur because describing a fix to literal text X feels natural with the literal text. Iteration 27's clean v2.30.14 narratives now look like an outlier rather than a trend.</w:t>
      </w:r>
    </w:p>
    <w:p>
      <w:pPr>
        <w:spacing w:after="240" w:before="480"/>
      </w:pPr>
      <w:r>
        <w:rPr>
          <w:rFonts w:ascii="Arial" w:cs="Arial" w:eastAsia="Arial" w:hAnsi="Arial"/>
          <w:b/>
          <w:bCs/>
          <w:color w:val="1F4E78"/>
          <w:sz w:val="36"/>
          <w:szCs w:val="36"/>
        </w:rPr>
        <w:t>Open issues remaining after v2.30.16. OPEN-1, OPEN-2, PROC-2, OPEN-3 (substantively addressed) status unchanged. Item 79's three open questions remain. RESEARCH and PROCESS items continue. Slideshow content sync remains closed. Possible next substantive work: (a) audit v2.30.16 to verify these rewrites held;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39: v2.30.17 Whitelist Migration to Exact-Text Format</w:t>
      </w:r>
    </w:p>
    <w:p>
      <w:pPr>
        <w:spacing w:after="240" w:before="480"/>
      </w:pPr>
      <w:r>
        <w:rPr>
          <w:rFonts w:ascii="Arial" w:cs="Arial" w:eastAsia="Arial" w:hAnsi="Arial"/>
          <w:b/>
          <w:bCs/>
          <w:color w:val="1F4E78"/>
          <w:sz w:val="36"/>
          <w:szCs w:val="36"/>
        </w:rPr>
        <w:t>v2.30.17 implements a structural improvement to the audit-script whitelist policy originally introduced in v2.30.12. The change addresses a brittleness in the original implementation: the v2.30.12 whitelist used (file_pattern, distinctive_phrase, audit_pattern) tuples, where each entry's distinctive phrase could itself contain literal text that the audit was designed to detect. This created a circular dependency — if the audit script ever processed the whitelist file itself (for example, in a cross-doc consistency check), it would flag the whitelist entries as findings of the very pattern they were meant to suppress. Not a hardening pass per se but a process improvement to the hardening cycle's tooling, similar to v2.30.12's original implementation.</w:t>
      </w:r>
    </w:p>
    <w:p>
      <w:pPr>
        <w:spacing w:after="240" w:before="480"/>
      </w:pPr>
      <w:r>
        <w:rPr>
          <w:rFonts w:ascii="Arial" w:cs="Arial" w:eastAsia="Arial" w:hAnsi="Arial"/>
          <w:b/>
          <w:bCs/>
          <w:color w:val="1F4E78"/>
          <w:sz w:val="36"/>
          <w:szCs w:val="36"/>
        </w:rPr>
        <w:t>Implementation. A new file audit_whitelist.txt has been created at package root, containing the seven current whitelist entries in exact-paragraph-text format. Each entry consists of a metadata header block (FILE, CATEGORY, REASON, STABILITY, ADDED) followed by TEXT_START and TEXT_END delimiters surrounding the exact paragraph text. The audit script's behavior changes accordingly: when iterating package paragraphs, the script first checks whether each paragraph's exact text matches any whitelist entry for that file. If matched, the paragraph is skipped from all audit checks (logged as 'whitelisted'). If not matched, the paragraph proceeds through normal audit logic. The whitelist file itself is at package root with .txt extension, which is outside the docx audit scope, so the whitelist text never passes through the audit's pattern matching.</w:t>
      </w:r>
    </w:p>
    <w:p>
      <w:pPr>
        <w:spacing w:after="240" w:before="480"/>
      </w:pPr>
      <w:r>
        <w:rPr>
          <w:rFonts w:ascii="Arial" w:cs="Arial" w:eastAsia="Arial" w:hAnsi="Arial"/>
          <w:b/>
          <w:bCs/>
          <w:color w:val="1F4E78"/>
          <w:sz w:val="36"/>
          <w:szCs w:val="36"/>
        </w:rPr>
        <w:t>Advantages of the exact-text approach. First, no circular comparison: the whitelist file's content is not subject to the audit's pattern matching, eliminating the risk of the whitelist becoming part of the problem it solves. Second, automatic edit detection: if a whitelisted paragraph is changed even by one character, it no longer exact-matches the whitelist entry and gets audited normally — surfacing unintentional drift in content that was supposed to be stable. Third, self-documenting: anyone reviewing audit_whitelist.txt sees the actual intentional content rather than indirection through distinctive phrases. Fourth, more rigorous: exact match is unambiguous; distinctive-phrase match has edge cases (the same phrase could appear in multiple paragraphs, or get re-used in different contexts).</w:t>
      </w:r>
    </w:p>
    <w:p>
      <w:pPr>
        <w:spacing w:after="240" w:before="480"/>
      </w:pPr>
      <w:r>
        <w:rPr>
          <w:rFonts w:ascii="Arial" w:cs="Arial" w:eastAsia="Arial" w:hAnsi="Arial"/>
          <w:b/>
          <w:bCs/>
          <w:color w:val="1F4E78"/>
          <w:sz w:val="36"/>
          <w:szCs w:val="36"/>
        </w:rPr>
        <w:t>Demonstration. The migration was tested against v2.30.16 state with the iteration-count sweep audit. Results: six paragraphs in the package contain the iteration-count phrasing pattern; all six exact-matched whitelist entries; zero paragraphs were flagged. The seventh whitelist entry covers a different audit pattern (the OPEN-1 healthcare-rate inconsistency documentation in OIR Section 2) and was not tested by the iteration-count sweep, but the whitelist parsing verified it is correctly loaded and would be applied if the stale-health-rate audit were run.</w:t>
      </w:r>
    </w:p>
    <w:p>
      <w:pPr>
        <w:spacing w:after="240" w:before="480"/>
      </w:pPr>
      <w:r>
        <w:rPr>
          <w:rFonts w:ascii="Arial" w:cs="Arial" w:eastAsia="Arial" w:hAnsi="Arial"/>
          <w:b/>
          <w:bCs/>
          <w:color w:val="1F4E78"/>
          <w:sz w:val="36"/>
          <w:szCs w:val="36"/>
        </w:rPr>
        <w:t>Maintenance considerations. Most whitelist entries are STABILITY: stable, meaning they reference documentation that should not change once written (e.g., OIR Section 29's iteration 18 documentation; the OPEN-1 entry's pre-canonical rate documentation). One entry is STABILITY: version-bumped — item 80's version line, which gets longer with each version bump as 'Updated for vX.Y.Z' clauses are appended. When item 80 is version-bumped, the corresponding whitelist entry must be updated to match the new exact text. This is comparable to manifest version updates in the Package Version doc and is just an additional step in the version-bump process.</w:t>
      </w:r>
    </w:p>
    <w:p>
      <w:pPr>
        <w:spacing w:after="240" w:before="480"/>
      </w:pPr>
      <w:r>
        <w:rPr>
          <w:rFonts w:ascii="Arial" w:cs="Arial" w:eastAsia="Arial" w:hAnsi="Arial"/>
          <w:b/>
          <w:bCs/>
          <w:color w:val="1F4E78"/>
          <w:sz w:val="36"/>
          <w:szCs w:val="36"/>
        </w:rPr>
        <w:t>Item 80 documentation updated. The 'Audit-Script Whitelist Policy' section in item 80 now describes the exact-text mechanism. The 'Initial Whitelist Entries' section was renamed to 'Whitelist Entries (current count and categorization)' and its body text now describes the seven entries with their categories and points to audit_whitelist.txt as the canonical source. The whitelist table embedded in item 80 is preserved for human review with a note that audit_whitelist.txt is the canonical source for the audit script.</w:t>
      </w:r>
    </w:p>
    <w:p>
      <w:pPr>
        <w:spacing w:after="240" w:before="480"/>
      </w:pPr>
      <w:r>
        <w:rPr>
          <w:rFonts w:ascii="Arial" w:cs="Arial" w:eastAsia="Arial" w:hAnsi="Arial"/>
          <w:b/>
          <w:bCs/>
          <w:color w:val="1F4E78"/>
          <w:sz w:val="36"/>
          <w:szCs w:val="36"/>
        </w:rPr>
        <w:t>Open issues remaining after v2.30.17. OPEN-1, OPEN-2, PROC-2, OPEN-3 (substantively addressed) status unchanged. Item 79's three open questions remain. RESEARCH and PROCESS items continue. Slideshow content sync remains closed. Possible next substantive work: (a) audit v2.30.17 to verify the migration didn't break anything; (b) substantively address Item 79's three open questions; (c) Reader's Path Through Resolved Open Issues; (d) tribal nation consultation framework expansion; (e) implement the audit-script extension for narrative-block literal-text detection (still open from iteration 19).</w:t>
      </w:r>
    </w:p>
    <w:p>
      <w:pPr>
        <w:pStyle w:val="Heading1"/>
      </w:pPr>
      <w:r>
        <w:t>Section 40: v2.30.18 Iteration 29 Hardening Pass</w:t>
      </w:r>
    </w:p>
    <w:p>
      <w:pPr>
        <w:spacing w:after="240" w:before="480"/>
      </w:pPr>
      <w:r>
        <w:rPr>
          <w:rFonts w:ascii="Arial" w:cs="Arial" w:eastAsia="Arial" w:hAnsi="Arial"/>
          <w:b/>
          <w:bCs/>
          <w:color w:val="1F4E78"/>
          <w:sz w:val="36"/>
          <w:szCs w:val="36"/>
        </w:rPr>
        <w:t>v2.30.18 is the twenty-ninth iteration of Jason's iterative hardening cycle and the first iteration to use the v2.30.17 exact-text whitelist mechanism. The audit on v2.30.17 took fresh angles: v2.30.17 mitigation verification (audit_whitelist.txt presence, item 80 updates, Section 39); iteration-count sweep using the new exact-text whitelist; Section 39 self-check; v2.30.17 narrative locations check; item 80 internal consistency. One real finding: the audit_whitelist.txt entry for the item 80 version line was outdated, no longer exact-matching the current paragraph text after v2.30.17 bumped item 80 to v1.4. This is the first instance of the version-bumped maintenance step in action.</w:t>
      </w:r>
    </w:p>
    <w:p>
      <w:pPr>
        <w:spacing w:after="240" w:before="480"/>
      </w:pPr>
      <w:r>
        <w:rPr>
          <w:rFonts w:ascii="Arial" w:cs="Arial" w:eastAsia="Arial" w:hAnsi="Arial"/>
          <w:b/>
          <w:bCs/>
          <w:color w:val="1F4E78"/>
          <w:sz w:val="36"/>
          <w:szCs w:val="36"/>
        </w:rPr>
        <w:t>Findings mitigated. WHITELIST-OUTDATED (1 instance, MIN, version-bumped maintenance): the audit_whitelist.txt entry for item 80's version line was extracted from v2.30.16 state when item 80 was at v1.3. v2.30.17's process-improvement work bumped item 80 to v1.4 and appended a new Updated clause to the version line, changing its exact text. The exact-match whitelist correctly no longer matched the modified paragraph, and the audit flagged it as expected. Mitigation: re-extracted the current v1.4 version line text and updated the whitelist entry. The audit re-ran clean (six iteration-count occurrences, all six exact-matched, zero flagged). This validates that the version-bumped maintenance process documented in v2.30.17's Section 39 works as designed.</w:t>
      </w:r>
    </w:p>
    <w:p>
      <w:pPr>
        <w:spacing w:after="240" w:before="480"/>
      </w:pPr>
      <w:r>
        <w:rPr>
          <w:rFonts w:ascii="Arial" w:cs="Arial" w:eastAsia="Arial" w:hAnsi="Arial"/>
          <w:b/>
          <w:bCs/>
          <w:color w:val="1F4E78"/>
          <w:sz w:val="36"/>
          <w:szCs w:val="36"/>
        </w:rPr>
        <w:t>What this iteration confirmed working. The exact-text whitelist mechanism performed as designed. Five of six iteration-count occurrences exact-matched their respective whitelist entries automatically; the sixth (item 80 version line) failed to match because of a legitimate edit to the paragraph (v1.3 to v1.4) and was flagged for human review. The flagging is the correct behavior for STABILITY: version-bumped entries: when the paragraph changes, the audit surfaces it and the whitelist is updated to match. v2.30.17's mitigations all verified: item 80 contains the audit_whitelist.txt reference; item 80 has the renamed 'Whitelist Entries (current count and categorization)' section; item 80 has the canonical-source note before the table; OIR Section 39 present and self-check clean. Cross-references all valid (1-81 range). Manifest integrity clean (zero orphans). Manifest version sync verified (item 80 v1.4, OIR v1.35). v2.30.17 narratives all clean (0 iteration-count occurrences in README, VERSIONLOG, OIR Section 39, Package Version doc v2.30.17 changelog).</w:t>
      </w:r>
    </w:p>
    <w:p>
      <w:pPr>
        <w:spacing w:after="240" w:before="480"/>
      </w:pPr>
      <w:r>
        <w:rPr>
          <w:rFonts w:ascii="Arial" w:cs="Arial" w:eastAsia="Arial" w:hAnsi="Arial"/>
          <w:b/>
          <w:bCs/>
          <w:color w:val="1F4E78"/>
          <w:sz w:val="36"/>
          <w:szCs w:val="36"/>
        </w:rPr>
        <w:t>On the recursive meta-trigger pattern. v2.30.17's narratives were all clean; v2.30.18's narratives (this Section 40 plus the v2.30.18 changelog entries in README, VERSIONLOG, Package Version doc) are also being written with abstracted language (no literal iteration-count quotes). Whether this represents stable adoption of the documentation discipline or another single-iteration absence remains observable only over more iterations. The pattern's history (eleven occurrences across iterations 10, 11, 13, 14, 15, 19, 21, 22, 23, 26, 28) argues for caution about declaring success.</w:t>
      </w:r>
    </w:p>
    <w:p>
      <w:pPr>
        <w:spacing w:after="240" w:before="480"/>
      </w:pPr>
      <w:r>
        <w:rPr>
          <w:rFonts w:ascii="Arial" w:cs="Arial" w:eastAsia="Arial" w:hAnsi="Arial"/>
          <w:b/>
          <w:bCs/>
          <w:color w:val="1F4E78"/>
          <w:sz w:val="36"/>
          <w:szCs w:val="36"/>
        </w:rPr>
        <w:t>Open issues remaining after v2.30.18. OPEN-1, OPEN-2, PROC-2, OPEN-3 (substantively addressed) status unchanged. Item 79's three open questions remain. RESEARCH and PROCESS items continue. Slideshow content sync remains closed. Possible next substantive work: (a) audit v2.30.18 to verify the whitelist update held;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41: v2.30.18 Iteration 30 Hardening Pass (Clean)</w:t>
      </w:r>
    </w:p>
    <w:p>
      <w:pPr>
        <w:spacing w:after="240" w:before="480"/>
      </w:pPr>
      <w:r>
        <w:rPr>
          <w:rFonts w:ascii="Arial" w:cs="Arial" w:eastAsia="Arial" w:hAnsi="Arial"/>
          <w:b/>
          <w:bCs/>
          <w:color w:val="1F4E78"/>
          <w:sz w:val="36"/>
          <w:szCs w:val="36"/>
        </w:rPr>
        <w:t>Iteration 30 was a clean iteration on v2.30.18, the first audit immediately following v2.30.18's whitelist maintenance update. Audit angles: v2.30.18 mitigation verification (whitelist re-extracted to match item 80 v1.4); exact-text whitelist robustness (all seven entries find paragraphs); iteration-count sweep using the new exact-text mechanism; Section 40 self-check; Calculator HTML version stamp consistency; item 80 distinctive-phrase table vs audit_whitelist.txt consistency. Zero findings. The exact-text whitelist mechanism performed as designed: six iteration-count occurrences in the package, all six exact-matched their respective whitelist entries, zero flagged. Section 40 self-check completely clean (zero forward refs, zero iteration-count quotes). v2.30.18 narrative locations all clean. Cross-references valid. Manifest integrity clean. No release shipped per standing rules (clean iteration with no findings means the package stays at the current version).</w:t>
      </w:r>
    </w:p>
    <w:p>
      <w:pPr>
        <w:pStyle w:val="Heading1"/>
      </w:pPr>
      <w:r>
        <w:t>Section 42: v2.30.18 Iteration 31 Hardening Pass (Clean)</w:t>
      </w:r>
    </w:p>
    <w:p>
      <w:pPr>
        <w:spacing w:after="240" w:before="480"/>
      </w:pPr>
      <w:r>
        <w:rPr>
          <w:rFonts w:ascii="Arial" w:cs="Arial" w:eastAsia="Arial" w:hAnsi="Arial"/>
          <w:b/>
          <w:bCs/>
          <w:color w:val="1F4E78"/>
          <w:sz w:val="36"/>
          <w:szCs w:val="36"/>
        </w:rPr>
        <w:t>Iteration 31 was a clean iteration on v2.30.18, the second consecutive clean audit on the same package version. Audit angles: Calculator HTML deeper audit (version stamps and canonical constants); OIR Section 1 introduction freshness; acronym consistency across docs (OPEN-1, OPEN-2, FFIA, DTRT, WTMFY, OIR variants); iteration-count sweep with whitelist; cross-references; manifest integrity. Zero findings. Calculator HTML deep-dive: 71,211 characters, ~1,559 lines, all twelve canonical constants present (4%/2% healthcare, 5%/10%/15% surcharge tiers, $250K/$500K/$1M income thresholds, $10M/$50M wealth thresholds, 0.5% wealth surcharge, 2.5% wealth tax). Calculator JS comments contain version stamps (v2.26.3, v2.27, v2.27.2) that are appropriate historical implementation references documenting when canonical decisions were applied, not stale current-state claims. Acronym consistency check found no inconsistent variants. Two consecutive clean iterations on v2.30.18 represent the longest clean streak on a single package version in the cycle, indicating stable package state. No release shipped per standing rules.</w:t>
      </w:r>
    </w:p>
    <w:p>
      <w:pPr>
        <w:pStyle w:val="Heading1"/>
      </w:pPr>
      <w:r>
        <w:t>Section 43: v2.30.20 Iteration 32 Hardening Pass</w:t>
      </w:r>
    </w:p>
    <w:p>
      <w:pPr>
        <w:spacing w:after="240" w:before="480"/>
      </w:pPr>
      <w:r>
        <w:rPr>
          <w:rFonts w:ascii="Arial" w:cs="Arial" w:eastAsia="Arial" w:hAnsi="Arial"/>
          <w:b/>
          <w:bCs/>
          <w:color w:val="1F4E78"/>
          <w:sz w:val="36"/>
          <w:szCs w:val="36"/>
        </w:rPr>
        <w:t>v2.30.20 is the thirty-second iteration of Jason's iterative hardening cycle, and the first iteration following the codification of the standard harden cycle procedure in item 80 v1.5. Audit angles followed Phase 1 of the codified procedure: v2.30.19 content verification (Sections 41 and 42 present, item 80 new process section present with all four phase headings); whitelist robustness (all seven entries find paragraphs); item 80 new section self-check; README item 80 descriptor freshness check (a fresh angle); standard checks. Two findings, both on the README item 80 descriptor.</w:t>
      </w:r>
    </w:p>
    <w:p>
      <w:pPr>
        <w:spacing w:after="240" w:before="480"/>
      </w:pPr>
      <w:r>
        <w:rPr>
          <w:rFonts w:ascii="Arial" w:cs="Arial" w:eastAsia="Arial" w:hAnsi="Arial"/>
          <w:b/>
          <w:bCs/>
          <w:color w:val="1F4E78"/>
          <w:sz w:val="36"/>
          <w:szCs w:val="36"/>
        </w:rPr>
        <w:t>Findings mitigated. I80-DESCRIPTOR-WORD-COUNT-STALE (1 instance, MIN): the README's item 80 descriptor claimed approximately 2,200 words, but item 80 has grown substantially since v2.29 with the addition of the iteration-by-iteration summary (v2.30.9), Audit-Script Whitelist Policy section (v2.30.12), Whitelist Entries section (v2.30.12), the policy update for exact-text format (v2.30.17), and the new Harden Cycle Process section (v2.30.19). Actual current word count is approximately 4,500. I80-DESCRIPTOR-COVERAGE-STALE (1 instance, MIN): the README's item 80 descriptor listed only the original v2.29 contents (methodology, audit angles, programmatic checks, persona simulations, standing rules, finding categories, lessons learned) and did not mention the substantial new content sections added across v2.30.X.Y iterations. Mitigation: rewrote the descriptor to reflect current word count and to enumerate the additional sections (iteration-by-iteration summary, audit-script whitelist policy, whitelist entries, and the codified harden cycle standard procedure with its four-phase Audit/Mitigate/Verify/Document process). Mitigation also corrected a grammar typo introduced in v2.30.15 that left the descriptor with a doubled preposition ('to date as of on May 6').</w:t>
      </w:r>
    </w:p>
    <w:p>
      <w:pPr>
        <w:spacing w:after="240" w:before="480"/>
      </w:pPr>
      <w:r>
        <w:rPr>
          <w:rFonts w:ascii="Arial" w:cs="Arial" w:eastAsia="Arial" w:hAnsi="Arial"/>
          <w:b/>
          <w:bCs/>
          <w:color w:val="1F4E78"/>
          <w:sz w:val="36"/>
          <w:szCs w:val="36"/>
        </w:rPr>
        <w:t>What this iteration confirmed working. v2.30.19's content additions all verified: OIR Sections 41 and 42 present (clean iterations 30 and 31 documented); item 80's new Harden Cycle Process section has all four phase headings (Audit, Mitigate, Verify, Document) plus the supporting subsections (clean iteration handling, versioning rules, recursive meta-trigger pattern). Whitelist robustness check passed: all seven entries' exact text found their respective paragraphs. Item 80's new process section was clean of meta-triggers and forward references. Iteration-count sweep with whitelist: six whitelisted, one historical, zero flagged. v2.30.19 narrative locations all clean. Cross-references valid. Manifest integrity clean. Manifest version sync verified (item 80 v1.5, OIR v1.37). The codified standard procedure was applied for this iteration's audit phase and worked as expected.</w:t>
      </w:r>
    </w:p>
    <w:p>
      <w:pPr>
        <w:spacing w:after="240" w:before="480"/>
      </w:pPr>
      <w:r>
        <w:rPr>
          <w:rFonts w:ascii="Arial" w:cs="Arial" w:eastAsia="Arial" w:hAnsi="Arial"/>
          <w:b/>
          <w:bCs/>
          <w:color w:val="1F4E78"/>
          <w:sz w:val="36"/>
          <w:szCs w:val="36"/>
        </w:rPr>
        <w:t>Open issues remaining after v2.30.20. OPEN-1, OPEN-2, PROC-2, OPEN-3 (substantively addressed) status unchanged. Item 79's three open questions remain. RESEARCH and PROCESS items continue. Slideshow content sync remains closed. Possible next substantive work: (a) audit v2.30.20 to verify the descriptor rewrite held; (b) substantively address Item 79's three open questions; (c) Reader's Path Through Resolved Open Issues; (d) tribal nation consultation framework expansion; (e) implement the audit-script extension for narrative-block literal-text detection.</w:t>
      </w:r>
    </w:p>
    <w:p>
      <w:pPr>
        <w:pStyle w:val="Heading1"/>
      </w:pPr>
      <w:r>
        <w:t>Section 44: v2.30.21 Iteration 33 Hardening Pass</w:t>
      </w:r>
    </w:p>
    <w:p>
      <w:pPr>
        <w:spacing w:after="240" w:before="480"/>
      </w:pPr>
      <w:r>
        <w:rPr>
          <w:rFonts w:ascii="Arial" w:cs="Arial" w:eastAsia="Arial" w:hAnsi="Arial"/>
          <w:b/>
          <w:bCs/>
          <w:color w:val="1F4E78"/>
          <w:sz w:val="36"/>
          <w:szCs w:val="36"/>
        </w:rPr>
        <w:t>v2.30.21 is the thirty-third iteration of Jason's iterative hardening cycle, and the second iteration following the codified standard procedure in item 80 v1.5. Audit angles followed Phase 1 of the codified procedure: v2.30.20 mitigation verification; README descriptors for items 79 and 81 (extending iteration 32's item 80 descriptor freshness check to other v2.29-created items); audit_whitelist.txt format validation; item 80 process section content accuracy; Section 43 self-check; standard checks. Two findings: one real (item 81 descriptor word count stale) and one audit-script false positive (a substring-match limitation in the format validation check).</w:t>
      </w:r>
    </w:p>
    <w:p>
      <w:pPr>
        <w:spacing w:after="240" w:before="480"/>
      </w:pPr>
      <w:r>
        <w:rPr>
          <w:rFonts w:ascii="Arial" w:cs="Arial" w:eastAsia="Arial" w:hAnsi="Arial"/>
          <w:b/>
          <w:bCs/>
          <w:color w:val="1F4E78"/>
          <w:sz w:val="36"/>
          <w:szCs w:val="36"/>
        </w:rPr>
        <w:t>Findings mitigated. I81-DESCRIPTOR-WORD-COUNT (1 instance, MIN): the README's item 81 descriptor claimed approximately 2,000 words, but item 81 has grown to approximately 3,233 words across v2.30.X.Y iterations (the original v2.29 creation was ~2,000 words; v2.30 substantially expanded it with distributional analysis, comparison to prior single-rate architecture, business-side modeling notes, and FFIA reconciliation). Mitigation: rewrote descriptor to reflect current word count (~3,200) and to enumerate the additional content (distributional analysis, comparison to prior architecture, business-side modeling, FFIA reconciliation). Item 79's descriptor was checked and remains accurate (no significant content additions since v2.29 creation).</w:t>
      </w:r>
    </w:p>
    <w:p>
      <w:pPr>
        <w:spacing w:after="240" w:before="480"/>
      </w:pPr>
      <w:r>
        <w:rPr>
          <w:rFonts w:ascii="Arial" w:cs="Arial" w:eastAsia="Arial" w:hAnsi="Arial"/>
          <w:b/>
          <w:bCs/>
          <w:color w:val="1F4E78"/>
          <w:sz w:val="36"/>
          <w:szCs w:val="36"/>
        </w:rPr>
        <w:t>Audit-script observation distinguished from finding. WL-METADATA-INCOMPLETE for entry 0 (1 instance, MIN, false positive): the audit_whitelist.txt format validation check uses a substring match for 'TEXT_START' to identify entry blocks. The file's documentation header (the comment block at the top of the file before the first separator) contains the words 'TEXT_START' and 'TEXT_END' and 'STABILITY:' as part of its format documentation, fooling the substring check into treating the header as a malformed entry. Same root cause produces noise in the stabilities-used and categories-used reporting (the documentation header's format-explanation text is mistakenly parsed as entry metadata). This is an audit-script limitation rather than a real finding; the documentation header is intentional and should be skipped by the validation logic. Future audit-script improvement candidate: change the entry-detection check from 'TEXT_START' substring match to 'TEXT_START on its own line' (using a regex like ^TEXT_START$). For now, mitigation is to document the limitation and leave the documentation header in place.</w:t>
      </w:r>
    </w:p>
    <w:p>
      <w:pPr>
        <w:spacing w:after="240" w:before="480"/>
      </w:pPr>
      <w:r>
        <w:rPr>
          <w:rFonts w:ascii="Arial" w:cs="Arial" w:eastAsia="Arial" w:hAnsi="Arial"/>
          <w:b/>
          <w:bCs/>
          <w:color w:val="1F4E78"/>
          <w:sz w:val="36"/>
          <w:szCs w:val="36"/>
        </w:rPr>
        <w:t>What this iteration confirmed working. v2.30.20 mitigations all verified (README has updated word count, no doubled preposition, mentions four-phase process). OIR Section 43 present. audit_whitelist.txt format is structurally valid (8 TEXT_START / 8 TEXT_END / 9 separators, balanced; 7 real entries plus the documentation header). Categories used: Legitimate historical reference, Previously-documented meta-trigger, Previously-documented inconsistency (3 categories from the 7 entries). Item 80's process section content accuracy verified: all four phase headings present plus supporting subsections (clean iteration handling, versioning rules, recursive meta-trigger pattern). Section 43 references the codified procedure correctly. Iteration-count sweep with whitelist: six whitelisted, one historical, zero flagged. v2.30.20 narrative locations all clean. Cross-references valid. Manifest integrity clean. Manifest version sync verified.</w:t>
      </w:r>
    </w:p>
    <w:p>
      <w:pPr>
        <w:spacing w:after="240" w:before="480"/>
      </w:pPr>
      <w:r>
        <w:rPr>
          <w:rFonts w:ascii="Arial" w:cs="Arial" w:eastAsia="Arial" w:hAnsi="Arial"/>
          <w:b/>
          <w:bCs/>
          <w:color w:val="1F4E78"/>
          <w:sz w:val="36"/>
          <w:szCs w:val="36"/>
        </w:rPr>
        <w:t>Open issues remaining after v2.30.21. OPEN-1, OPEN-2, PROC-2, OPEN-3 (substantively addressed) status unchanged. Item 79's three open questions remain. RESEARCH and PROCESS items continue. Slideshow content sync remains closed. Audit-script improvement candidates accumulated: (a) narrative-block literal-text detection (from iteration 19); (b) section self-check harmonization with full-sweep heuristic (from iteration 26); (c) entry detection in audit_whitelist.txt format validation (from this iteration). Possible next substantive work: (a) audit v2.30.21 to verify the descriptor rewrite held; (b) substantively address Item 79's three open questions; (c) Reader's Path Through Resolved Open Issues; (d) tribal nation consultation framework expansion.</w:t>
      </w:r>
    </w:p>
    <w:p>
      <w:pPr>
        <w:pStyle w:val="Heading1"/>
      </w:pPr>
      <w:r>
        <w:t>Section 45: v2.30.22 audit_script.py Canonical Implementation</w:t>
      </w:r>
    </w:p>
    <w:p>
      <w:pPr>
        <w:spacing w:after="240" w:before="480"/>
      </w:pPr>
      <w:r>
        <w:rPr>
          <w:rFonts w:ascii="Arial" w:cs="Arial" w:eastAsia="Arial" w:hAnsi="Arial"/>
          <w:b/>
          <w:bCs/>
          <w:color w:val="1F4E78"/>
          <w:sz w:val="36"/>
          <w:szCs w:val="36"/>
        </w:rPr>
        <w:t>v2.30.22 implements a substantive process improvement: the canonical audit_script.py at package root, which consolidates the ad-hoc audit code that has been used in earlier iterations into a reproducible tool. The script addresses all three audit-script improvement candidates that had accumulated across the cycle (originally proposed in iterations 19, 26, and 33). Not a hardening pass per se but a process improvement, similar to v2.30.12's whitelist policy implementation and v2.30.17's exact-text format migration. Iteration 33 had directed that the audit-script substring-match limitation should actually be fixed rather than just documented as a candidate; v2.30.22 fulfills that direction and addresses the other two candidates as well.</w:t>
      </w:r>
    </w:p>
    <w:p>
      <w:pPr>
        <w:spacing w:after="240" w:before="480"/>
      </w:pPr>
      <w:r>
        <w:rPr>
          <w:rFonts w:ascii="Arial" w:cs="Arial" w:eastAsia="Arial" w:hAnsi="Arial"/>
          <w:b/>
          <w:bCs/>
          <w:color w:val="1F4E78"/>
          <w:sz w:val="36"/>
          <w:szCs w:val="36"/>
        </w:rPr>
        <w:t>Implementation. New file audit_script.py at package root, approximately 350 lines of Python implementing the standard audit logic. The script loads audit_whitelist.txt, walks all docx files in the package, and runs checks for cross-reference validity, manifest integrity, manifest version sync, the iteration-count pattern sweep with whitelist + heuristic, and whitelist robustness. It implements all three accumulated improvement candidates: anchored regex on TEXT_START as a complete line (rather than substring match), avoiding false positives when the audit_whitelist.txt documentation header contains the words TEXT_START or TEXT_END as part of format documentation; section self-check function that applies the same [HISTORICAL] heuristic as the full sweep, avoiding false positives that the full sweep would not produce; narrative-block literal-text detection function that checks current-iteration narratives in README, VERSIONLOG, Package Version doc, and OIR sections for literal patterns matching audit detection patterns.</w:t>
      </w:r>
    </w:p>
    <w:p>
      <w:pPr>
        <w:spacing w:after="240" w:before="480"/>
      </w:pPr>
      <w:r>
        <w:rPr>
          <w:rFonts w:ascii="Arial" w:cs="Arial" w:eastAsia="Arial" w:hAnsi="Arial"/>
          <w:b/>
          <w:bCs/>
          <w:color w:val="1F4E78"/>
          <w:sz w:val="36"/>
          <w:szCs w:val="36"/>
        </w:rPr>
        <w:t>Test results on v2.30.22 state. The script ran clean: zero SIG findings, zero MIN findings, zero OBS findings. Cross-references valid (55 unique, no invalid). Manifest integrity clean (80 files vs 81 manifest entries, with no orphans — the manifest count is one higher because it includes an entry for itself). Iteration-count sweep: six exact-matched, one historical heuristic, zero flagged. All seven whitelist entries marked OK (found their respective paragraphs). The script exits with status code 0 (no SIG findings) and is suitable for use in Phase 1 of the codified harden cycle procedure.</w:t>
      </w:r>
    </w:p>
    <w:p>
      <w:pPr>
        <w:spacing w:after="240" w:before="480"/>
      </w:pPr>
      <w:r>
        <w:rPr>
          <w:rFonts w:ascii="Arial" w:cs="Arial" w:eastAsia="Arial" w:hAnsi="Arial"/>
          <w:b/>
          <w:bCs/>
          <w:color w:val="1F4E78"/>
          <w:sz w:val="36"/>
          <w:szCs w:val="36"/>
        </w:rPr>
        <w:t>Item 80 documentation updated. The Phase 1: Audit body paragraph in item 80's 'The Harden Cycle Process — Standard Procedure' section now references audit_script.py as the canonical implementation. A new subsection 'The audit_script.py Tool' was added describing the script's purpose, usage, requirements, and maintenance approach. The script and the audit_whitelist.txt are not in the manifest's content-file extension list (.docx, .html, .pptx, .pdf, .csv, .xlsx) and are naturally excluded from manifest checks; this is documented in the item 80 maintenance subsection.</w:t>
      </w:r>
    </w:p>
    <w:p>
      <w:pPr>
        <w:spacing w:after="240" w:before="480"/>
      </w:pPr>
      <w:r>
        <w:rPr>
          <w:rFonts w:ascii="Arial" w:cs="Arial" w:eastAsia="Arial" w:hAnsi="Arial"/>
          <w:b/>
          <w:bCs/>
          <w:color w:val="1F4E78"/>
          <w:sz w:val="36"/>
          <w:szCs w:val="36"/>
        </w:rPr>
        <w:t>Audit-script improvement candidates closed. With v2.30.22 shipping the consolidated audit_script.py implementation, the three audit-script improvement candidates that had accumulated across iterations 19, 26, and 33 are now closed. Future audit-script improvements (additional patterns, new check types, refined heuristics) should be implemented as updates to audit_script.py rather than as one-off code in iteration work.</w:t>
      </w:r>
    </w:p>
    <w:p>
      <w:pPr>
        <w:spacing w:after="240" w:before="480"/>
      </w:pPr>
      <w:r>
        <w:rPr>
          <w:rFonts w:ascii="Arial" w:cs="Arial" w:eastAsia="Arial" w:hAnsi="Arial"/>
          <w:b/>
          <w:bCs/>
          <w:color w:val="1F4E78"/>
          <w:sz w:val="36"/>
          <w:szCs w:val="36"/>
        </w:rPr>
        <w:t>Open issues remaining after v2.30.22. OPEN-1, OPEN-2, PROC-2, OPEN-3 (substantively addressed) status unchanged. Item 79's three open questions remain. RESEARCH and PROCESS items continue. Slideshow content sync remains closed. Possible next substantive work: (a) audit v2.30.22 to verify the script integrates cleanly; (b) substantively address Item 79's three open questions; (c) Reader's Path Through Resolved Open Issues; (d) tribal nation consultation framework expansion.</w:t>
      </w:r>
    </w:p>
    <w:p>
      <w:pPr>
        <w:pStyle w:val="Heading1"/>
      </w:pPr>
      <w:r>
        <w:t>Section 46: v2.30.23 audit_script.py Executable Bit</w:t>
      </w:r>
    </w:p>
    <w:p>
      <w:pPr>
        <w:spacing w:after="240" w:before="480"/>
      </w:pPr>
      <w:r>
        <w:rPr>
          <w:rFonts w:ascii="Arial" w:cs="Arial" w:eastAsia="Arial" w:hAnsi="Arial"/>
          <w:b/>
          <w:bCs/>
          <w:color w:val="1F4E78"/>
          <w:sz w:val="36"/>
          <w:szCs w:val="36"/>
        </w:rPr>
        <w:t>v2.30.23 marks audit_script.py as executable (sets the +x bit for owner, group, and other). The script's shebang line ('#!/usr/bin/env python3') was already correct, so the executable bit allows the script to be invoked directly as './audit_script.py' from package root rather than requiring 'python3 audit_script.py'. This was noted as a convenience improvement in iteration 34's observation; v2.30.23 addresses it. Not a hardening pass per se but a minor convenience improvement to the canonical audit tool. The executable bit is preserved when the package is distributed via zip (zip stores Unix file modes; macOS, Linux, and Windows-with-WSL respect the bit; Windows native does not require it since python.exe is invoked through the file extension association). Verified via './audit_script.py' producing identical output to 'python3 audit_script.py'.</w:t>
      </w:r>
    </w:p>
    <w:p>
      <w:pPr>
        <w:pStyle w:val="Heading1"/>
      </w:pPr>
      <w:r>
        <w:t>Section 47: Comprehensive Issue Status Summary Table</w:t>
      </w:r>
    </w:p>
    <w:p>
      <w:pPr>
        <w:spacing w:after="240" w:before="480"/>
      </w:pPr>
      <w:r>
        <w:rPr>
          <w:rFonts w:ascii="Arial" w:cs="Arial" w:eastAsia="Arial" w:hAnsi="Arial"/>
          <w:b/>
          <w:bCs/>
          <w:color w:val="1F4E78"/>
          <w:sz w:val="36"/>
          <w:szCs w:val="36"/>
        </w:rPr>
        <w:t>This section consolidates all tracked issues across the platform into a single at-a-glance reference table. Two distinct columns track different aspects of each issue. The Issue Status column tracks whether the loose end has been completely resolved or whether more work or analysis is needed. The Mitigated column tracks whether the documentation responsibilities have been fulfilled to the platform's standard. These are different criteria. An issue can have its documentation responsibilities fulfilled (Mitigated = Y) even when more work is required to fully resolve the underlying issue (Status indicates remaining work). The two-column structure makes the platform's documentation completeness visible alongside the underlying resolution status.</w:t>
      </w:r>
    </w:p>
    <w:tbl>
      <w:tblPr>
        <w:tblW w:type="auto" w:w="0"/>
        <w:tblLook w:firstColumn="1" w:firstRow="1" w:lastColumn="0" w:lastRow="0" w:noHBand="0" w:noVBand="1" w:val="04A0"/>
      </w:tblPr>
      <w:tblGrid>
        <w:gridCol w:w="2340"/>
        <w:gridCol w:w="2340"/>
        <w:gridCol w:w="2340"/>
        <w:gridCol w:w="2340"/>
      </w:tblGrid>
      <w:tr>
        <w:tc>
          <w:tcPr>
            <w:tcW w:type="dxa" w:w="1296"/>
            <w:tcBorders>
              <w:top w:val="single" w:sz="4" w:color="808080"/>
              <w:left w:val="single" w:sz="4" w:color="808080"/>
              <w:bottom w:val="single" w:sz="4" w:color="808080"/>
              <w:right w:val="single" w:sz="4" w:color="808080"/>
            </w:tcBorders>
          </w:tcPr>
          <w:p>
            <w:r>
              <w:rPr>
                <w:b/>
              </w:rPr>
              <w:t>Issue ID</w:t>
            </w:r>
          </w:p>
        </w:tc>
        <w:tc>
          <w:tcPr>
            <w:tcW w:type="dxa" w:w="3744"/>
            <w:tcBorders>
              <w:top w:val="single" w:sz="4" w:color="808080"/>
              <w:left w:val="single" w:sz="4" w:color="808080"/>
              <w:bottom w:val="single" w:sz="4" w:color="808080"/>
              <w:right w:val="single" w:sz="4" w:color="808080"/>
            </w:tcBorders>
          </w:tcPr>
          <w:p>
            <w:r>
              <w:rPr>
                <w:b/>
              </w:rPr>
              <w:t>Description</w:t>
            </w:r>
          </w:p>
        </w:tc>
        <w:tc>
          <w:tcPr>
            <w:tcW w:type="dxa" w:w="4320"/>
            <w:tcBorders>
              <w:top w:val="single" w:sz="4" w:color="808080"/>
              <w:left w:val="single" w:sz="4" w:color="808080"/>
              <w:bottom w:val="single" w:sz="4" w:color="808080"/>
              <w:right w:val="single" w:sz="4" w:color="808080"/>
            </w:tcBorders>
          </w:tcPr>
          <w:p>
            <w:r>
              <w:rPr>
                <w:b/>
              </w:rPr>
              <w:t>Current Status</w:t>
            </w:r>
          </w:p>
        </w:tc>
        <w:tc>
          <w:tcPr>
            <w:tcW w:type="dxa" w:w="1152"/>
            <w:tcBorders>
              <w:top w:val="single" w:sz="4" w:color="808080"/>
              <w:left w:val="single" w:sz="4" w:color="808080"/>
              <w:bottom w:val="single" w:sz="4" w:color="808080"/>
              <w:right w:val="single" w:sz="4" w:color="808080"/>
            </w:tcBorders>
          </w:tcPr>
          <w:p>
            <w:r>
              <w:rPr>
                <w:b/>
              </w:rPr>
              <w:t>Mitigated</w:t>
            </w:r>
          </w:p>
        </w:tc>
      </w:tr>
      <w:tr>
        <w:tc>
          <w:tcPr>
            <w:tcW w:type="dxa" w:w="1296"/>
            <w:tcBorders>
              <w:top w:val="single" w:sz="4" w:color="808080"/>
              <w:left w:val="single" w:sz="4" w:color="808080"/>
              <w:bottom w:val="single" w:sz="4" w:color="808080"/>
              <w:right w:val="single" w:sz="4" w:color="808080"/>
            </w:tcBorders>
          </w:tcPr>
          <w:p>
            <w:r>
              <w:t>CON-2</w:t>
            </w:r>
          </w:p>
        </w:tc>
        <w:tc>
          <w:tcPr>
            <w:tcW w:type="dxa" w:w="3744"/>
            <w:tcBorders>
              <w:top w:val="single" w:sz="4" w:color="808080"/>
              <w:left w:val="single" w:sz="4" w:color="808080"/>
              <w:bottom w:val="single" w:sz="4" w:color="808080"/>
              <w:right w:val="single" w:sz="4" w:color="808080"/>
            </w:tcBorders>
          </w:tcPr>
          <w:p>
            <w:r>
              <w:t>Manifesto cover tagline 'Three Pillars'</w:t>
            </w:r>
          </w:p>
        </w:tc>
        <w:tc>
          <w:tcPr>
            <w:tcW w:type="dxa" w:w="4320"/>
            <w:tcBorders>
              <w:top w:val="single" w:sz="4" w:color="808080"/>
              <w:left w:val="single" w:sz="4" w:color="808080"/>
              <w:bottom w:val="single" w:sz="4" w:color="808080"/>
              <w:right w:val="single" w:sz="4" w:color="808080"/>
            </w:tcBorders>
          </w:tcPr>
          <w:p>
            <w:r>
              <w:t>CLOSED: Mitigated v2.24 (Section 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CON-3</w:t>
            </w:r>
          </w:p>
        </w:tc>
        <w:tc>
          <w:tcPr>
            <w:tcW w:type="dxa" w:w="3744"/>
            <w:tcBorders>
              <w:top w:val="single" w:sz="4" w:color="808080"/>
              <w:left w:val="single" w:sz="4" w:color="808080"/>
              <w:bottom w:val="single" w:sz="4" w:color="808080"/>
              <w:right w:val="single" w:sz="4" w:color="808080"/>
            </w:tcBorders>
          </w:tcPr>
          <w:p>
            <w:r>
              <w:t>Healthcare per-capita target timeline divergence</w:t>
            </w:r>
          </w:p>
        </w:tc>
        <w:tc>
          <w:tcPr>
            <w:tcW w:type="dxa" w:w="4320"/>
            <w:tcBorders>
              <w:top w:val="single" w:sz="4" w:color="808080"/>
              <w:left w:val="single" w:sz="4" w:color="808080"/>
              <w:bottom w:val="single" w:sz="4" w:color="808080"/>
              <w:right w:val="single" w:sz="4" w:color="808080"/>
            </w:tcBorders>
          </w:tcPr>
          <w:p>
            <w:r>
              <w:t>CLOSED: Mitigated v2.24 (Section 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CON-9</w:t>
            </w:r>
          </w:p>
        </w:tc>
        <w:tc>
          <w:tcPr>
            <w:tcW w:type="dxa" w:w="3744"/>
            <w:tcBorders>
              <w:top w:val="single" w:sz="4" w:color="808080"/>
              <w:left w:val="single" w:sz="4" w:color="808080"/>
              <w:bottom w:val="single" w:sz="4" w:color="808080"/>
              <w:right w:val="single" w:sz="4" w:color="808080"/>
            </w:tcBorders>
          </w:tcPr>
          <w:p>
            <w:r>
              <w:t>TOC entry payroll funding rate language</w:t>
            </w:r>
          </w:p>
        </w:tc>
        <w:tc>
          <w:tcPr>
            <w:tcW w:type="dxa" w:w="4320"/>
            <w:tcBorders>
              <w:top w:val="single" w:sz="4" w:color="808080"/>
              <w:left w:val="single" w:sz="4" w:color="808080"/>
              <w:bottom w:val="single" w:sz="4" w:color="808080"/>
              <w:right w:val="single" w:sz="4" w:color="808080"/>
            </w:tcBorders>
          </w:tcPr>
          <w:p>
            <w:r>
              <w:t>CLOSED: Mitigated v2.24 (Section 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OPEN-1</w:t>
            </w:r>
          </w:p>
        </w:tc>
        <w:tc>
          <w:tcPr>
            <w:tcW w:type="dxa" w:w="3744"/>
            <w:tcBorders>
              <w:top w:val="single" w:sz="4" w:color="808080"/>
              <w:left w:val="single" w:sz="4" w:color="808080"/>
              <w:bottom w:val="single" w:sz="4" w:color="808080"/>
              <w:right w:val="single" w:sz="4" w:color="808080"/>
            </w:tcBorders>
          </w:tcPr>
          <w:p>
            <w:r>
              <w:t>Universal Healthcare contribution rate (4 different values)</w:t>
            </w:r>
          </w:p>
        </w:tc>
        <w:tc>
          <w:tcPr>
            <w:tcW w:type="dxa" w:w="4320"/>
            <w:tcBorders>
              <w:top w:val="single" w:sz="4" w:color="808080"/>
              <w:left w:val="single" w:sz="4" w:color="808080"/>
              <w:bottom w:val="single" w:sz="4" w:color="808080"/>
              <w:right w:val="single" w:sz="4" w:color="808080"/>
            </w:tcBorders>
          </w:tcPr>
          <w:p>
            <w:r>
              <w:t>CLOSED: Canonical decision v2.26.3: 4% employer + 2% employee = 6% total (Sections 10, 20) v3.3.0 update: Pillar Nine (Universal Long-Term Care) added with canonical contribution rate 1.0 percent combined payroll, split as 0.6 percent employer plus 0.4 percent employee, calibrated against projected benefit cost and following the asymmetric employer-employee split pattern used in Pillars Five, Six, and Eight.</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OPEN-2</w:t>
            </w:r>
          </w:p>
        </w:tc>
        <w:tc>
          <w:tcPr>
            <w:tcW w:type="dxa" w:w="3744"/>
            <w:tcBorders>
              <w:top w:val="single" w:sz="4" w:color="808080"/>
              <w:left w:val="single" w:sz="4" w:color="808080"/>
              <w:bottom w:val="single" w:sz="4" w:color="808080"/>
              <w:right w:val="single" w:sz="4" w:color="808080"/>
            </w:tcBorders>
          </w:tcPr>
          <w:p>
            <w:r>
              <w:t>Wealth surcharge architecture (3 different versions)</w:t>
            </w:r>
          </w:p>
        </w:tc>
        <w:tc>
          <w:tcPr>
            <w:tcW w:type="dxa" w:w="4320"/>
            <w:tcBorders>
              <w:top w:val="single" w:sz="4" w:color="808080"/>
              <w:left w:val="single" w:sz="4" w:color="808080"/>
              <w:bottom w:val="single" w:sz="4" w:color="808080"/>
              <w:right w:val="single" w:sz="4" w:color="808080"/>
            </w:tcBorders>
          </w:tcPr>
          <w:p>
            <w:r>
              <w:t>CLOSED: Canonical decision v2.26.3 + v2.27 (Sections 10, 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OPEN-3</w:t>
            </w:r>
          </w:p>
        </w:tc>
        <w:tc>
          <w:tcPr>
            <w:tcW w:type="dxa" w:w="3744"/>
            <w:tcBorders>
              <w:top w:val="single" w:sz="4" w:color="808080"/>
              <w:left w:val="single" w:sz="4" w:color="808080"/>
              <w:bottom w:val="single" w:sz="4" w:color="808080"/>
              <w:right w:val="single" w:sz="4" w:color="808080"/>
            </w:tcBorders>
          </w:tcPr>
          <w:p>
            <w:r>
              <w:t>FFIA modified income tax architecture (zero net new revenue)</w:t>
            </w:r>
          </w:p>
        </w:tc>
        <w:tc>
          <w:tcPr>
            <w:tcW w:type="dxa" w:w="4320"/>
            <w:tcBorders>
              <w:top w:val="single" w:sz="4" w:color="808080"/>
              <w:left w:val="single" w:sz="4" w:color="808080"/>
              <w:bottom w:val="single" w:sz="4" w:color="808080"/>
              <w:right w:val="single" w:sz="4" w:color="808080"/>
            </w:tcBorders>
          </w:tcPr>
          <w:p>
            <w:r>
              <w:t>CLOSED: Documented v2.29-v2.30 (Sections 21, 22): income tax architecture quantified (~$130B behavioral-adjusted, ~$619B gross), ETI sensitivity computed at 0.2/0.4/0.6/0.8, distributional impact characterized, FFIA updated with explicit three-component breakdown. Issue resolution requires external microsimulation at JCT/TPC/Penn Wharton level + IRS SOI 2024 baseline (current uses 2021).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OPEN-4</w:t>
            </w:r>
          </w:p>
        </w:tc>
        <w:tc>
          <w:tcPr>
            <w:tcW w:type="dxa" w:w="3744"/>
            <w:tcBorders>
              <w:top w:val="single" w:sz="4" w:color="808080"/>
              <w:left w:val="single" w:sz="4" w:color="808080"/>
              <w:bottom w:val="single" w:sz="4" w:color="808080"/>
              <w:right w:val="single" w:sz="4" w:color="808080"/>
            </w:tcBorders>
          </w:tcPr>
          <w:p>
            <w:r>
              <w:t>Adjacent Pillars three-primary-pillars framing outdated</w:t>
            </w:r>
          </w:p>
        </w:tc>
        <w:tc>
          <w:tcPr>
            <w:tcW w:type="dxa" w:w="4320"/>
            <w:tcBorders>
              <w:top w:val="single" w:sz="4" w:color="808080"/>
              <w:left w:val="single" w:sz="4" w:color="808080"/>
              <w:bottom w:val="single" w:sz="4" w:color="808080"/>
              <w:right w:val="single" w:sz="4" w:color="808080"/>
            </w:tcBorders>
          </w:tcPr>
          <w:p>
            <w:r>
              <w:t>CLOSED: Mitigated v2.26.2 Iteration 1 (Section 9)</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PROC-2</w:t>
            </w:r>
          </w:p>
        </w:tc>
        <w:tc>
          <w:tcPr>
            <w:tcW w:type="dxa" w:w="3744"/>
            <w:tcBorders>
              <w:top w:val="single" w:sz="4" w:color="808080"/>
              <w:left w:val="single" w:sz="4" w:color="808080"/>
              <w:bottom w:val="single" w:sz="4" w:color="808080"/>
              <w:right w:val="single" w:sz="4" w:color="808080"/>
            </w:tcBorders>
          </w:tcPr>
          <w:p>
            <w:r>
              <w:t>Calculator business-side modeling</w:t>
            </w:r>
          </w:p>
        </w:tc>
        <w:tc>
          <w:tcPr>
            <w:tcW w:type="dxa" w:w="4320"/>
            <w:tcBorders>
              <w:top w:val="single" w:sz="4" w:color="808080"/>
              <w:left w:val="single" w:sz="4" w:color="808080"/>
              <w:bottom w:val="single" w:sz="4" w:color="808080"/>
              <w:right w:val="single" w:sz="4" w:color="808080"/>
            </w:tcBorders>
          </w:tcPr>
          <w:p>
            <w:r>
              <w:t>CLOSED: Resolved v2.27 (Section 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RESEARCH-1</w:t>
            </w:r>
          </w:p>
        </w:tc>
        <w:tc>
          <w:tcPr>
            <w:tcW w:type="dxa" w:w="3744"/>
            <w:tcBorders>
              <w:top w:val="single" w:sz="4" w:color="808080"/>
              <w:left w:val="single" w:sz="4" w:color="808080"/>
              <w:bottom w:val="single" w:sz="4" w:color="808080"/>
              <w:right w:val="single" w:sz="4" w:color="808080"/>
            </w:tcBorders>
          </w:tcPr>
          <w:p>
            <w:r>
              <w:t>Federal Reserve / monetary policy interaction</w:t>
            </w:r>
          </w:p>
        </w:tc>
        <w:tc>
          <w:tcPr>
            <w:tcW w:type="dxa" w:w="4320"/>
            <w:tcBorders>
              <w:top w:val="single" w:sz="4" w:color="808080"/>
              <w:left w:val="single" w:sz="4" w:color="808080"/>
              <w:bottom w:val="single" w:sz="4" w:color="808080"/>
              <w:right w:val="single" w:sz="4" w:color="808080"/>
            </w:tcBorders>
          </w:tcPr>
          <w:p>
            <w:r>
              <w:t>OPEN: Documented v2.30.29 (Section 52): item 47 'Federal Reserve and Monetary Policy Interaction' section provides response framework with Norway GPF analogue and three response scenarios. Issue resolution requires credentialed monetary economist consultation and macroeconomic modeling;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RESEARCH-2</w:t>
            </w:r>
          </w:p>
        </w:tc>
        <w:tc>
          <w:tcPr>
            <w:tcW w:type="dxa" w:w="3744"/>
            <w:tcBorders>
              <w:top w:val="single" w:sz="4" w:color="808080"/>
              <w:left w:val="single" w:sz="4" w:color="808080"/>
              <w:bottom w:val="single" w:sz="4" w:color="808080"/>
              <w:right w:val="single" w:sz="4" w:color="808080"/>
            </w:tcBorders>
          </w:tcPr>
          <w:p>
            <w:r>
              <w:t>Housing market interaction analysis</w:t>
            </w:r>
          </w:p>
        </w:tc>
        <w:tc>
          <w:tcPr>
            <w:tcW w:type="dxa" w:w="4320"/>
            <w:tcBorders>
              <w:top w:val="single" w:sz="4" w:color="808080"/>
              <w:left w:val="single" w:sz="4" w:color="808080"/>
              <w:bottom w:val="single" w:sz="4" w:color="808080"/>
              <w:right w:val="single" w:sz="4" w:color="808080"/>
            </w:tcBorders>
          </w:tcPr>
          <w:p>
            <w:r>
              <w:t>OPEN: Documented v2.30.29 (Section 52): item 69 'Platform Effect on Housing Markets' section provides response framework with three quantified channels. Issue resolution requires housing economics expertise and supply elasticity modeling;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RESEARCH-3</w:t>
            </w:r>
          </w:p>
        </w:tc>
        <w:tc>
          <w:tcPr>
            <w:tcW w:type="dxa" w:w="3744"/>
            <w:tcBorders>
              <w:top w:val="single" w:sz="4" w:color="808080"/>
              <w:left w:val="single" w:sz="4" w:color="808080"/>
              <w:bottom w:val="single" w:sz="4" w:color="808080"/>
              <w:right w:val="single" w:sz="4" w:color="808080"/>
            </w:tcBorders>
          </w:tcPr>
          <w:p>
            <w:r>
              <w:t>Wage floor disemployment quantitative estimate</w:t>
            </w:r>
          </w:p>
        </w:tc>
        <w:tc>
          <w:tcPr>
            <w:tcW w:type="dxa" w:w="4320"/>
            <w:tcBorders>
              <w:top w:val="single" w:sz="4" w:color="808080"/>
              <w:left w:val="single" w:sz="4" w:color="808080"/>
              <w:bottom w:val="single" w:sz="4" w:color="808080"/>
              <w:right w:val="single" w:sz="4" w:color="808080"/>
            </w:tcBorders>
          </w:tcPr>
          <w:p>
            <w:r>
              <w:t>OPEN: Documented v2.30.29 (Section 52): item 60 'Disemployment Sensitivity Analysis' section provides quantitative range estimates at -0.1/-0.2/-0.3 elasticities (0.25-0.75 million jobs at risk). Issue resolution within scope; calibration to specific empirical contexts requires labor economics expertise;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RESEARCH-4</w:t>
            </w:r>
          </w:p>
        </w:tc>
        <w:tc>
          <w:tcPr>
            <w:tcW w:type="dxa" w:w="3744"/>
            <w:tcBorders>
              <w:top w:val="single" w:sz="4" w:color="808080"/>
              <w:left w:val="single" w:sz="4" w:color="808080"/>
              <w:bottom w:val="single" w:sz="4" w:color="808080"/>
              <w:right w:val="single" w:sz="4" w:color="808080"/>
            </w:tcBorders>
          </w:tcPr>
          <w:p>
            <w:r>
              <w:t>Healthcare cost reduction decomposition</w:t>
            </w:r>
          </w:p>
        </w:tc>
        <w:tc>
          <w:tcPr>
            <w:tcW w:type="dxa" w:w="4320"/>
            <w:tcBorders>
              <w:top w:val="single" w:sz="4" w:color="808080"/>
              <w:left w:val="single" w:sz="4" w:color="808080"/>
              <w:bottom w:val="single" w:sz="4" w:color="808080"/>
              <w:right w:val="single" w:sz="4" w:color="808080"/>
            </w:tcBorders>
          </w:tcPr>
          <w:p>
            <w:r>
              <w:t>OPEN: Documented v2.30.29 (Section 52): item 30 'Cost Reduction Decomposition Framework' section provides reasonable bounds per mechanism (administrative simplification $1,300-1,800; drug pricing $400-700; provider compensation $400-800; utilization $700-1,200 per capita). Issue resolution requires health economics expertise and detailed CMS/BLS/NHE data analysis;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RESEARCH-5</w:t>
            </w:r>
          </w:p>
        </w:tc>
        <w:tc>
          <w:tcPr>
            <w:tcW w:type="dxa" w:w="3744"/>
            <w:tcBorders>
              <w:top w:val="single" w:sz="4" w:color="808080"/>
              <w:left w:val="single" w:sz="4" w:color="808080"/>
              <w:bottom w:val="single" w:sz="4" w:color="808080"/>
              <w:right w:val="single" w:sz="4" w:color="808080"/>
            </w:tcBorders>
          </w:tcPr>
          <w:p>
            <w:r>
              <w:t>Sovereign Fund 4% real return scenario</w:t>
            </w:r>
          </w:p>
        </w:tc>
        <w:tc>
          <w:tcPr>
            <w:tcW w:type="dxa" w:w="4320"/>
            <w:tcBorders>
              <w:top w:val="single" w:sz="4" w:color="808080"/>
              <w:left w:val="single" w:sz="4" w:color="808080"/>
              <w:bottom w:val="single" w:sz="4" w:color="808080"/>
              <w:right w:val="single" w:sz="4" w:color="808080"/>
            </w:tcBorders>
          </w:tcPr>
          <w:p>
            <w:r>
              <w:t>OPEN: Documented v2.30.29 (Section 52): item 12 'Sovereign Fund 4 Percent Return Parallel Scenario' section provides equal-weight conservative case ($62.5T corpus, $1.4T disbursements, $400B deficit reduction). Issue resolution within scope; calibration to specific portfolio compositions requires investment management expertise;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RESEARCH-6</w:t>
            </w:r>
          </w:p>
        </w:tc>
        <w:tc>
          <w:tcPr>
            <w:tcW w:type="dxa" w:w="3744"/>
            <w:tcBorders>
              <w:top w:val="single" w:sz="4" w:color="808080"/>
              <w:left w:val="single" w:sz="4" w:color="808080"/>
              <w:bottom w:val="single" w:sz="4" w:color="808080"/>
              <w:right w:val="single" w:sz="4" w:color="808080"/>
            </w:tcBorders>
          </w:tcPr>
          <w:p>
            <w:r>
              <w:t>Intersectional pay gap analysis</w:t>
            </w:r>
          </w:p>
        </w:tc>
        <w:tc>
          <w:tcPr>
            <w:tcW w:type="dxa" w:w="4320"/>
            <w:tcBorders>
              <w:top w:val="single" w:sz="4" w:color="808080"/>
              <w:left w:val="single" w:sz="4" w:color="808080"/>
              <w:bottom w:val="single" w:sz="4" w:color="808080"/>
              <w:right w:val="single" w:sz="4" w:color="808080"/>
            </w:tcBorders>
          </w:tcPr>
          <w:p>
            <w:r>
              <w:t>OPEN: Documented v2.30.29 (Section 52): item 75 'Intersectional Analysis Framework' section provides framework for differential mechanism interaction across sub-populations. Issue resolution requires labor economics and demographic research expertise plus BLS/Census/CMS data access;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RESEARCH-7</w:t>
            </w:r>
          </w:p>
        </w:tc>
        <w:tc>
          <w:tcPr>
            <w:tcW w:type="dxa" w:w="3744"/>
            <w:tcBorders>
              <w:top w:val="single" w:sz="4" w:color="808080"/>
              <w:left w:val="single" w:sz="4" w:color="808080"/>
              <w:bottom w:val="single" w:sz="4" w:color="808080"/>
              <w:right w:val="single" w:sz="4" w:color="808080"/>
            </w:tcBorders>
          </w:tcPr>
          <w:p>
            <w:r>
              <w:t>Climate-omission strategic reasoning</w:t>
            </w:r>
          </w:p>
        </w:tc>
        <w:tc>
          <w:tcPr>
            <w:tcW w:type="dxa" w:w="4320"/>
            <w:tcBorders>
              <w:top w:val="single" w:sz="4" w:color="808080"/>
              <w:left w:val="single" w:sz="4" w:color="808080"/>
              <w:bottom w:val="single" w:sz="4" w:color="808080"/>
              <w:right w:val="single" w:sz="4" w:color="808080"/>
            </w:tcBorders>
          </w:tcPr>
          <w:p>
            <w:r>
              <w:t>CLOSED: Documented v2.30.28 (Section 51): item 74 'Strategic Reasoning for the Climate Omission' section articulates the scope choice with seven subsections covering architectural-vs-policy, advocacy infrastructure asymmetry, IRA era effects, scope discipline, implicit climate co-benefits, division of labor, and what-this-reasoning-is-and-is-not. Issue resolution within scope.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RESEARCH-8</w:t>
            </w:r>
          </w:p>
        </w:tc>
        <w:tc>
          <w:tcPr>
            <w:tcW w:type="dxa" w:w="3744"/>
            <w:tcBorders>
              <w:top w:val="single" w:sz="4" w:color="808080"/>
              <w:left w:val="single" w:sz="4" w:color="808080"/>
              <w:bottom w:val="single" w:sz="4" w:color="808080"/>
              <w:right w:val="single" w:sz="4" w:color="808080"/>
            </w:tcBorders>
          </w:tcPr>
          <w:p>
            <w:r>
              <w:t>Pillar Eight (Universal Paid Family Time) cost validation</w:t>
            </w:r>
          </w:p>
        </w:tc>
        <w:tc>
          <w:tcPr>
            <w:tcW w:type="dxa" w:w="4320"/>
            <w:tcBorders>
              <w:top w:val="single" w:sz="4" w:color="808080"/>
              <w:left w:val="single" w:sz="4" w:color="808080"/>
              <w:bottom w:val="single" w:sz="4" w:color="808080"/>
              <w:right w:val="single" w:sz="4" w:color="808080"/>
            </w:tcBorders>
          </w:tcPr>
          <w:p>
            <w:r>
              <w:t>OPEN: Documented v3.2.1 (Section 89). Pillar Eight cost estimate ($40-60B/year at maturity, 0.4% combined payroll contribution rate) referenced FAMILY Act modeling and state-program data scaling but has not been independently validated. Issue resolution requires labor economist with paid leave program economics expertise; engagement specification can be added to 05_External_Engagement_Plan.docx as Kind A validation track item analogous to existing RESEARCH items.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SCOPE-1</w:t>
            </w:r>
          </w:p>
        </w:tc>
        <w:tc>
          <w:tcPr>
            <w:tcW w:type="dxa" w:w="3744"/>
            <w:tcBorders>
              <w:top w:val="single" w:sz="4" w:color="808080"/>
              <w:left w:val="single" w:sz="4" w:color="808080"/>
              <w:bottom w:val="single" w:sz="4" w:color="808080"/>
              <w:right w:val="single" w:sz="4" w:color="808080"/>
            </w:tcBorders>
          </w:tcPr>
          <w:p>
            <w:r>
              <w:t>Long-term care</w:t>
            </w:r>
          </w:p>
        </w:tc>
        <w:tc>
          <w:tcPr>
            <w:tcW w:type="dxa" w:w="4320"/>
            <w:tcBorders>
              <w:top w:val="single" w:sz="4" w:color="808080"/>
              <w:left w:val="single" w:sz="4" w:color="808080"/>
              <w:bottom w:val="single" w:sz="4" w:color="808080"/>
              <w:right w:val="single" w:sz="4" w:color="808080"/>
            </w:tcBorders>
          </w:tcPr>
          <w:p>
            <w:r>
              <w:t>CLOSED: Acknowledged as out-of-scope (Section 4)</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SCOPE-2</w:t>
            </w:r>
          </w:p>
        </w:tc>
        <w:tc>
          <w:tcPr>
            <w:tcW w:type="dxa" w:w="3744"/>
            <w:tcBorders>
              <w:top w:val="single" w:sz="4" w:color="808080"/>
              <w:left w:val="single" w:sz="4" w:color="808080"/>
              <w:bottom w:val="single" w:sz="4" w:color="808080"/>
              <w:right w:val="single" w:sz="4" w:color="808080"/>
            </w:tcBorders>
          </w:tcPr>
          <w:p>
            <w:r>
              <w:t>Hearing aids and audiology</w:t>
            </w:r>
          </w:p>
        </w:tc>
        <w:tc>
          <w:tcPr>
            <w:tcW w:type="dxa" w:w="4320"/>
            <w:tcBorders>
              <w:top w:val="single" w:sz="4" w:color="808080"/>
              <w:left w:val="single" w:sz="4" w:color="808080"/>
              <w:bottom w:val="single" w:sz="4" w:color="808080"/>
              <w:right w:val="single" w:sz="4" w:color="808080"/>
            </w:tcBorders>
          </w:tcPr>
          <w:p>
            <w:r>
              <w:t>CLOSED: Acknowledged as out-of-scope (Section 4)</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SCOPE-3</w:t>
            </w:r>
          </w:p>
        </w:tc>
        <w:tc>
          <w:tcPr>
            <w:tcW w:type="dxa" w:w="3744"/>
            <w:tcBorders>
              <w:top w:val="single" w:sz="4" w:color="808080"/>
              <w:left w:val="single" w:sz="4" w:color="808080"/>
              <w:bottom w:val="single" w:sz="4" w:color="808080"/>
              <w:right w:val="single" w:sz="4" w:color="808080"/>
            </w:tcBorders>
          </w:tcPr>
          <w:p>
            <w:r>
              <w:t>Comprehensive climate policy</w:t>
            </w:r>
          </w:p>
        </w:tc>
        <w:tc>
          <w:tcPr>
            <w:tcW w:type="dxa" w:w="4320"/>
            <w:tcBorders>
              <w:top w:val="single" w:sz="4" w:color="808080"/>
              <w:left w:val="single" w:sz="4" w:color="808080"/>
              <w:bottom w:val="single" w:sz="4" w:color="808080"/>
              <w:right w:val="single" w:sz="4" w:color="808080"/>
            </w:tcBorders>
          </w:tcPr>
          <w:p>
            <w:r>
              <w:t>CLOSED: Acknowledged as out-of-scope (Section 4)</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SCOPE-4</w:t>
            </w:r>
          </w:p>
        </w:tc>
        <w:tc>
          <w:tcPr>
            <w:tcW w:type="dxa" w:w="3744"/>
            <w:tcBorders>
              <w:top w:val="single" w:sz="4" w:color="808080"/>
              <w:left w:val="single" w:sz="4" w:color="808080"/>
              <w:bottom w:val="single" w:sz="4" w:color="808080"/>
              <w:right w:val="single" w:sz="4" w:color="808080"/>
            </w:tcBorders>
          </w:tcPr>
          <w:p>
            <w:r>
              <w:t>Housing supply policy</w:t>
            </w:r>
          </w:p>
        </w:tc>
        <w:tc>
          <w:tcPr>
            <w:tcW w:type="dxa" w:w="4320"/>
            <w:tcBorders>
              <w:top w:val="single" w:sz="4" w:color="808080"/>
              <w:left w:val="single" w:sz="4" w:color="808080"/>
              <w:bottom w:val="single" w:sz="4" w:color="808080"/>
              <w:right w:val="single" w:sz="4" w:color="808080"/>
            </w:tcBorders>
          </w:tcPr>
          <w:p>
            <w:r>
              <w:t>CLOSED: Acknowledged as out-of-scope (Section 4)</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SCOPE-5</w:t>
            </w:r>
          </w:p>
        </w:tc>
        <w:tc>
          <w:tcPr>
            <w:tcW w:type="dxa" w:w="3744"/>
            <w:tcBorders>
              <w:top w:val="single" w:sz="4" w:color="808080"/>
              <w:left w:val="single" w:sz="4" w:color="808080"/>
              <w:bottom w:val="single" w:sz="4" w:color="808080"/>
              <w:right w:val="single" w:sz="4" w:color="808080"/>
            </w:tcBorders>
          </w:tcPr>
          <w:p>
            <w:r>
              <w:t>Immigration policy</w:t>
            </w:r>
          </w:p>
        </w:tc>
        <w:tc>
          <w:tcPr>
            <w:tcW w:type="dxa" w:w="4320"/>
            <w:tcBorders>
              <w:top w:val="single" w:sz="4" w:color="808080"/>
              <w:left w:val="single" w:sz="4" w:color="808080"/>
              <w:bottom w:val="single" w:sz="4" w:color="808080"/>
              <w:right w:val="single" w:sz="4" w:color="808080"/>
            </w:tcBorders>
          </w:tcPr>
          <w:p>
            <w:r>
              <w:t>CLOSED: Acknowledged as out-of-scope (Section 4)</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PROCESS-1</w:t>
            </w:r>
          </w:p>
        </w:tc>
        <w:tc>
          <w:tcPr>
            <w:tcW w:type="dxa" w:w="3744"/>
            <w:tcBorders>
              <w:top w:val="single" w:sz="4" w:color="808080"/>
              <w:left w:val="single" w:sz="4" w:color="808080"/>
              <w:bottom w:val="single" w:sz="4" w:color="808080"/>
              <w:right w:val="single" w:sz="4" w:color="808080"/>
            </w:tcBorders>
          </w:tcPr>
          <w:p>
            <w:r>
              <w:t>Lead author not credentialed economist or policy professional</w:t>
            </w:r>
          </w:p>
        </w:tc>
        <w:tc>
          <w:tcPr>
            <w:tcW w:type="dxa" w:w="4320"/>
            <w:tcBorders>
              <w:top w:val="single" w:sz="4" w:color="808080"/>
              <w:left w:val="single" w:sz="4" w:color="808080"/>
              <w:bottom w:val="single" w:sz="4" w:color="808080"/>
              <w:right w:val="single" w:sz="4" w:color="808080"/>
            </w:tcBorders>
          </w:tcPr>
          <w:p>
            <w:r>
              <w:t>CLOSED: Documented v2.30.31 (Section 54): How This Was Built 'External Validation Pathways' section articulates required disciplines (7), specific pathways, closure standard (5-of-7 disciplines documented). Issue resolution requires documented credentialed expert reviews.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PROCESS-2</w:t>
            </w:r>
          </w:p>
        </w:tc>
        <w:tc>
          <w:tcPr>
            <w:tcW w:type="dxa" w:w="3744"/>
            <w:tcBorders>
              <w:top w:val="single" w:sz="4" w:color="808080"/>
              <w:left w:val="single" w:sz="4" w:color="808080"/>
              <w:bottom w:val="single" w:sz="4" w:color="808080"/>
              <w:right w:val="single" w:sz="4" w:color="808080"/>
            </w:tcBorders>
          </w:tcPr>
          <w:p>
            <w:r>
              <w:t>External Reviews folder contains only AI reviews</w:t>
            </w:r>
          </w:p>
        </w:tc>
        <w:tc>
          <w:tcPr>
            <w:tcW w:type="dxa" w:w="4320"/>
            <w:tcBorders>
              <w:top w:val="single" w:sz="4" w:color="808080"/>
              <w:left w:val="single" w:sz="4" w:color="808080"/>
              <w:bottom w:val="single" w:sz="4" w:color="808080"/>
              <w:right w:val="single" w:sz="4" w:color="808080"/>
            </w:tcBorders>
          </w:tcPr>
          <w:p>
            <w:r>
              <w:t>CLOSED: Documented v2.30.31 (Section 54): How This Was Built 'External Validation Pathways' section articulates available external review pathways (peer review, think tank, professional society, congressional support agency, regulatory agency). Issue resolution requires at least 3 independent credentialed reviews documented.</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PROCESS-3</w:t>
            </w:r>
          </w:p>
        </w:tc>
        <w:tc>
          <w:tcPr>
            <w:tcW w:type="dxa" w:w="3744"/>
            <w:tcBorders>
              <w:top w:val="single" w:sz="4" w:color="808080"/>
              <w:left w:val="single" w:sz="4" w:color="808080"/>
              <w:bottom w:val="single" w:sz="4" w:color="808080"/>
              <w:right w:val="single" w:sz="4" w:color="808080"/>
            </w:tcBorders>
          </w:tcPr>
          <w:p>
            <w:r>
              <w:t>Mathematical models not independently audited</w:t>
            </w:r>
          </w:p>
        </w:tc>
        <w:tc>
          <w:tcPr>
            <w:tcW w:type="dxa" w:w="4320"/>
            <w:tcBorders>
              <w:top w:val="single" w:sz="4" w:color="808080"/>
              <w:left w:val="single" w:sz="4" w:color="808080"/>
              <w:bottom w:val="single" w:sz="4" w:color="808080"/>
              <w:right w:val="single" w:sz="4" w:color="808080"/>
            </w:tcBorders>
          </w:tcPr>
          <w:p>
            <w:r>
              <w:t>OPEN: Documented v2.30.31 (Section 54): How This Was Built 'External Validation Pathways' section articulates audit standards (CFA/ISDA/SR 11-7), scope (5 audit categories), pathways. Issue resolution requires documented audit of Combined Reform Model and FFIA minimum;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ITEM79-Q1</w:t>
            </w:r>
          </w:p>
        </w:tc>
        <w:tc>
          <w:tcPr>
            <w:tcW w:type="dxa" w:w="3744"/>
            <w:tcBorders>
              <w:top w:val="single" w:sz="4" w:color="808080"/>
              <w:left w:val="single" w:sz="4" w:color="808080"/>
              <w:bottom w:val="single" w:sz="4" w:color="808080"/>
              <w:right w:val="single" w:sz="4" w:color="808080"/>
            </w:tcBorders>
          </w:tcPr>
          <w:p>
            <w:r>
              <w:t>Item 79: competitive carrier transition impact</w:t>
            </w:r>
          </w:p>
        </w:tc>
        <w:tc>
          <w:tcPr>
            <w:tcW w:type="dxa" w:w="4320"/>
            <w:tcBorders>
              <w:top w:val="single" w:sz="4" w:color="808080"/>
              <w:left w:val="single" w:sz="4" w:color="808080"/>
              <w:bottom w:val="single" w:sz="4" w:color="808080"/>
              <w:right w:val="single" w:sz="4" w:color="808080"/>
            </w:tcBorders>
          </w:tcPr>
          <w:p>
            <w:r>
              <w:t>CLOSED: Documented v2.30.30 (Section 53): item 79 'Response Framework: Competitive Carrier Transition Impact' section provides five-element transition assistance package and three response frameworks. Issue resolution requires FCC rulemaking with industry consultation.</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ITEM79-Q2</w:t>
            </w:r>
          </w:p>
        </w:tc>
        <w:tc>
          <w:tcPr>
            <w:tcW w:type="dxa" w:w="3744"/>
            <w:tcBorders>
              <w:top w:val="single" w:sz="4" w:color="808080"/>
              <w:left w:val="single" w:sz="4" w:color="808080"/>
              <w:bottom w:val="single" w:sz="4" w:color="808080"/>
              <w:right w:val="single" w:sz="4" w:color="808080"/>
            </w:tcBorders>
          </w:tcPr>
          <w:p>
            <w:r>
              <w:t>Item 79: private investment incentives during transition</w:t>
            </w:r>
          </w:p>
        </w:tc>
        <w:tc>
          <w:tcPr>
            <w:tcW w:type="dxa" w:w="4320"/>
            <w:tcBorders>
              <w:top w:val="single" w:sz="4" w:color="808080"/>
              <w:left w:val="single" w:sz="4" w:color="808080"/>
              <w:bottom w:val="single" w:sz="4" w:color="808080"/>
              <w:right w:val="single" w:sz="4" w:color="808080"/>
            </w:tcBorders>
          </w:tcPr>
          <w:p>
            <w:r>
              <w:t>CLOSED: Documented v2.30.30 (Section 53): item 79 'Response Framework: Private Investment Incentives During Transition' section provides three-pronged response and historical analogues. Issue resolution requires carrier behavior modeling.</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ITEM79-Q3</w:t>
            </w:r>
          </w:p>
        </w:tc>
        <w:tc>
          <w:tcPr>
            <w:tcW w:type="dxa" w:w="3744"/>
            <w:tcBorders>
              <w:top w:val="single" w:sz="4" w:color="808080"/>
              <w:left w:val="single" w:sz="4" w:color="808080"/>
              <w:bottom w:val="single" w:sz="4" w:color="808080"/>
              <w:right w:val="single" w:sz="4" w:color="808080"/>
            </w:tcBorders>
          </w:tcPr>
          <w:p>
            <w:r>
              <w:t>Item 79: tribal nation lands handling</w:t>
            </w:r>
          </w:p>
        </w:tc>
        <w:tc>
          <w:tcPr>
            <w:tcW w:type="dxa" w:w="4320"/>
            <w:tcBorders>
              <w:top w:val="single" w:sz="4" w:color="808080"/>
              <w:left w:val="single" w:sz="4" w:color="808080"/>
              <w:bottom w:val="single" w:sz="4" w:color="808080"/>
              <w:right w:val="single" w:sz="4" w:color="808080"/>
            </w:tcBorders>
          </w:tcPr>
          <w:p>
            <w:r>
              <w:t>OPEN: Documented v2.30.30 (Section 53): item 79 'Response Framework: Tribal Nation Lands and Federal Infrastructure' section provides three architectural elements drawing on EO 13175 / NHPA Section 106 / NEPA / Indian Self-Determination Act / ICWA. Issue resolution requires actual government-to-government tribal consultation;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PROC-IMP-1</w:t>
            </w:r>
          </w:p>
        </w:tc>
        <w:tc>
          <w:tcPr>
            <w:tcW w:type="dxa" w:w="3744"/>
            <w:tcBorders>
              <w:top w:val="single" w:sz="4" w:color="808080"/>
              <w:left w:val="single" w:sz="4" w:color="808080"/>
              <w:bottom w:val="single" w:sz="4" w:color="808080"/>
              <w:right w:val="single" w:sz="4" w:color="808080"/>
            </w:tcBorders>
          </w:tcPr>
          <w:p>
            <w:r>
              <w:t>Slideshow content sync</w:t>
            </w:r>
          </w:p>
        </w:tc>
        <w:tc>
          <w:tcPr>
            <w:tcW w:type="dxa" w:w="4320"/>
            <w:tcBorders>
              <w:top w:val="single" w:sz="4" w:color="808080"/>
              <w:left w:val="single" w:sz="4" w:color="808080"/>
              <w:bottom w:val="single" w:sz="4" w:color="808080"/>
              <w:right w:val="single" w:sz="4" w:color="808080"/>
            </w:tcBorders>
          </w:tcPr>
          <w:p>
            <w:r>
              <w:t>CLOSED: Closed v2.30.5 (Section 27)</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PROC-IMP-2</w:t>
            </w:r>
          </w:p>
        </w:tc>
        <w:tc>
          <w:tcPr>
            <w:tcW w:type="dxa" w:w="3744"/>
            <w:tcBorders>
              <w:top w:val="single" w:sz="4" w:color="808080"/>
              <w:left w:val="single" w:sz="4" w:color="808080"/>
              <w:bottom w:val="single" w:sz="4" w:color="808080"/>
              <w:right w:val="single" w:sz="4" w:color="808080"/>
            </w:tcBorders>
          </w:tcPr>
          <w:p>
            <w:r>
              <w:t>Audit-script whitelist policy</w:t>
            </w:r>
          </w:p>
        </w:tc>
        <w:tc>
          <w:tcPr>
            <w:tcW w:type="dxa" w:w="4320"/>
            <w:tcBorders>
              <w:top w:val="single" w:sz="4" w:color="808080"/>
              <w:left w:val="single" w:sz="4" w:color="808080"/>
              <w:bottom w:val="single" w:sz="4" w:color="808080"/>
              <w:right w:val="single" w:sz="4" w:color="808080"/>
            </w:tcBorders>
          </w:tcPr>
          <w:p>
            <w:r>
              <w:t>CLOSED: Implemented v2.30.12; migrated to exact-text format v2.30.17 (Sections 28, 39)</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PROC-IMP-3</w:t>
            </w:r>
          </w:p>
        </w:tc>
        <w:tc>
          <w:tcPr>
            <w:tcW w:type="dxa" w:w="3744"/>
            <w:tcBorders>
              <w:top w:val="single" w:sz="4" w:color="808080"/>
              <w:left w:val="single" w:sz="4" w:color="808080"/>
              <w:bottom w:val="single" w:sz="4" w:color="808080"/>
              <w:right w:val="single" w:sz="4" w:color="808080"/>
            </w:tcBorders>
          </w:tcPr>
          <w:p>
            <w:r>
              <w:t>Harden cycle process codification</w:t>
            </w:r>
          </w:p>
        </w:tc>
        <w:tc>
          <w:tcPr>
            <w:tcW w:type="dxa" w:w="4320"/>
            <w:tcBorders>
              <w:top w:val="single" w:sz="4" w:color="808080"/>
              <w:left w:val="single" w:sz="4" w:color="808080"/>
              <w:bottom w:val="single" w:sz="4" w:color="808080"/>
              <w:right w:val="single" w:sz="4" w:color="808080"/>
            </w:tcBorders>
          </w:tcPr>
          <w:p>
            <w:r>
              <w:t>CLOSED: Codified v2.30.19 in item 80 v1.5 (Section 41)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PROC-IMP-4</w:t>
            </w:r>
          </w:p>
        </w:tc>
        <w:tc>
          <w:tcPr>
            <w:tcW w:type="dxa" w:w="3744"/>
            <w:tcBorders>
              <w:top w:val="single" w:sz="4" w:color="808080"/>
              <w:left w:val="single" w:sz="4" w:color="808080"/>
              <w:bottom w:val="single" w:sz="4" w:color="808080"/>
              <w:right w:val="single" w:sz="4" w:color="808080"/>
            </w:tcBorders>
          </w:tcPr>
          <w:p>
            <w:r>
              <w:t>Audit-script improvement candidates (3 items)</w:t>
            </w:r>
          </w:p>
        </w:tc>
        <w:tc>
          <w:tcPr>
            <w:tcW w:type="dxa" w:w="4320"/>
            <w:tcBorders>
              <w:top w:val="single" w:sz="4" w:color="808080"/>
              <w:left w:val="single" w:sz="4" w:color="808080"/>
              <w:bottom w:val="single" w:sz="4" w:color="808080"/>
              <w:right w:val="single" w:sz="4" w:color="808080"/>
            </w:tcBorders>
          </w:tcPr>
          <w:p>
            <w:r>
              <w:t>CLOSED: All 3 closed v2.30.22 in audit_script.py (Section 45)</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PROC-IMP-5</w:t>
            </w:r>
          </w:p>
        </w:tc>
        <w:tc>
          <w:tcPr>
            <w:tcW w:type="dxa" w:w="3744"/>
            <w:tcBorders>
              <w:top w:val="single" w:sz="4" w:color="808080"/>
              <w:left w:val="single" w:sz="4" w:color="808080"/>
              <w:bottom w:val="single" w:sz="4" w:color="808080"/>
              <w:right w:val="single" w:sz="4" w:color="808080"/>
            </w:tcBorders>
          </w:tcPr>
          <w:p>
            <w:r>
              <w:t>audit_script.py executable bit</w:t>
            </w:r>
          </w:p>
        </w:tc>
        <w:tc>
          <w:tcPr>
            <w:tcW w:type="dxa" w:w="4320"/>
            <w:tcBorders>
              <w:top w:val="single" w:sz="4" w:color="808080"/>
              <w:left w:val="single" w:sz="4" w:color="808080"/>
              <w:bottom w:val="single" w:sz="4" w:color="808080"/>
              <w:right w:val="single" w:sz="4" w:color="808080"/>
            </w:tcBorders>
          </w:tcPr>
          <w:p>
            <w:r>
              <w:t>CLOSED: Marked +x v2.30.23 (Section 46)</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PERSONA-SIG-1</w:t>
            </w:r>
          </w:p>
        </w:tc>
        <w:tc>
          <w:tcPr>
            <w:tcW w:type="dxa" w:w="3744"/>
            <w:tcBorders>
              <w:top w:val="single" w:sz="4" w:color="808080"/>
              <w:left w:val="single" w:sz="4" w:color="808080"/>
              <w:bottom w:val="single" w:sz="4" w:color="808080"/>
              <w:right w:val="single" w:sz="4" w:color="808080"/>
            </w:tcBorders>
          </w:tcPr>
          <w:p>
            <w:r>
              <w:t>FIF regulatory treatment incompleteness (P3 industry persona)</w:t>
            </w:r>
          </w:p>
        </w:tc>
        <w:tc>
          <w:tcPr>
            <w:tcW w:type="dxa" w:w="4320"/>
            <w:tcBorders>
              <w:top w:val="single" w:sz="4" w:color="808080"/>
              <w:left w:val="single" w:sz="4" w:color="808080"/>
              <w:bottom w:val="single" w:sz="4" w:color="808080"/>
              <w:right w:val="single" w:sz="4" w:color="808080"/>
            </w:tcBorders>
          </w:tcPr>
          <w:p>
            <w:r>
              <w:t>CLOSED: Mitigated v3.1.1 by adding Regulatory Architecture section to FIF document covering FCC, state PUC, and USF interactions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PERSONA-SIG-2</w:t>
            </w:r>
          </w:p>
        </w:tc>
        <w:tc>
          <w:tcPr>
            <w:tcW w:type="dxa" w:w="3744"/>
            <w:tcBorders>
              <w:top w:val="single" w:sz="4" w:color="808080"/>
              <w:left w:val="single" w:sz="4" w:color="808080"/>
              <w:bottom w:val="single" w:sz="4" w:color="808080"/>
              <w:right w:val="single" w:sz="4" w:color="808080"/>
            </w:tcBorders>
          </w:tcPr>
          <w:p>
            <w:r>
              <w:t>FIF tribal sovereignty language insufficiency (P4 tribal persona)</w:t>
            </w:r>
          </w:p>
        </w:tc>
        <w:tc>
          <w:tcPr>
            <w:tcW w:type="dxa" w:w="4320"/>
            <w:tcBorders>
              <w:top w:val="single" w:sz="4" w:color="808080"/>
              <w:left w:val="single" w:sz="4" w:color="808080"/>
              <w:bottom w:val="single" w:sz="4" w:color="808080"/>
              <w:right w:val="single" w:sz="4" w:color="808080"/>
            </w:tcBorders>
          </w:tcPr>
          <w:p>
            <w:r>
              <w:t>CLOSED: Mitigated v3.1.1 by adding Tribal Sovereignty and Government-to-Government Consultation section to FIF document</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w:t>
            </w:r>
          </w:p>
        </w:tc>
        <w:tc>
          <w:tcPr>
            <w:tcW w:type="dxa" w:w="3744"/>
            <w:tcBorders>
              <w:top w:val="single" w:sz="4" w:color="808080"/>
              <w:left w:val="single" w:sz="4" w:color="808080"/>
              <w:bottom w:val="single" w:sz="4" w:color="808080"/>
              <w:right w:val="single" w:sz="4" w:color="808080"/>
            </w:tcBorders>
          </w:tcPr>
          <w:p>
            <w:r>
              <w:t>FFIA methodology opacity (P2 policy professional)</w:t>
            </w:r>
          </w:p>
        </w:tc>
        <w:tc>
          <w:tcPr>
            <w:tcW w:type="dxa" w:w="4320"/>
            <w:tcBorders>
              <w:top w:val="single" w:sz="4" w:color="808080"/>
              <w:left w:val="single" w:sz="4" w:color="808080"/>
              <w:bottom w:val="single" w:sz="4" w:color="808080"/>
              <w:right w:val="single" w:sz="4" w:color="808080"/>
            </w:tcBorders>
          </w:tcPr>
          <w:p>
            <w:r>
              <w:t>CLOSED: Mitigated v3.1.6 by adding Methodology section to FFIA covering core projection architecture, key parameter sources, headline assumptions, sensitivity considerations, and what the section does not provide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w:t>
            </w:r>
          </w:p>
        </w:tc>
        <w:tc>
          <w:tcPr>
            <w:tcW w:type="dxa" w:w="3744"/>
            <w:tcBorders>
              <w:top w:val="single" w:sz="4" w:color="808080"/>
              <w:left w:val="single" w:sz="4" w:color="808080"/>
              <w:bottom w:val="single" w:sz="4" w:color="808080"/>
              <w:right w:val="single" w:sz="4" w:color="808080"/>
            </w:tcBorders>
          </w:tcPr>
          <w:p>
            <w:r>
              <w:t>Wage Floors peer-nation comparison missing (P2 policy professional)</w:t>
            </w:r>
          </w:p>
        </w:tc>
        <w:tc>
          <w:tcPr>
            <w:tcW w:type="dxa" w:w="4320"/>
            <w:tcBorders>
              <w:top w:val="single" w:sz="4" w:color="808080"/>
              <w:left w:val="single" w:sz="4" w:color="808080"/>
              <w:bottom w:val="single" w:sz="4" w:color="808080"/>
              <w:right w:val="single" w:sz="4" w:color="808080"/>
            </w:tcBorders>
          </w:tcPr>
          <w:p>
            <w:r>
              <w:t>CLOSED: Mitigated v3.1.6 by adding International Comparison section to Wage Floors as Tax Architecture covering UK, Australia, Germany approaches and what the comparison reveals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PERSONA-MIN-3</w:t>
            </w:r>
          </w:p>
        </w:tc>
        <w:tc>
          <w:tcPr>
            <w:tcW w:type="dxa" w:w="3744"/>
            <w:tcBorders>
              <w:top w:val="single" w:sz="4" w:color="808080"/>
              <w:left w:val="single" w:sz="4" w:color="808080"/>
              <w:bottom w:val="single" w:sz="4" w:color="808080"/>
              <w:right w:val="single" w:sz="4" w:color="808080"/>
            </w:tcBorders>
          </w:tcPr>
          <w:p>
            <w:r>
              <w:t>Coalition Walkthrough lacks political-economy logic (P2 policy professional)</w:t>
            </w:r>
          </w:p>
        </w:tc>
        <w:tc>
          <w:tcPr>
            <w:tcW w:type="dxa" w:w="4320"/>
            <w:tcBorders>
              <w:top w:val="single" w:sz="4" w:color="808080"/>
              <w:left w:val="single" w:sz="4" w:color="808080"/>
              <w:bottom w:val="single" w:sz="4" w:color="808080"/>
              <w:right w:val="single" w:sz="4" w:color="808080"/>
            </w:tcBorders>
          </w:tcPr>
          <w:p>
            <w:r>
              <w:t>CLOSED: Mitigated v3.1.6 by adding Political-Economy Coalitional Logic section to Coalition Walkthrough covering interests gain/lose, coalition formation, veto points, and implicit assumptions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PERSONA-MIN-4</w:t>
            </w:r>
          </w:p>
        </w:tc>
        <w:tc>
          <w:tcPr>
            <w:tcW w:type="dxa" w:w="3744"/>
            <w:tcBorders>
              <w:top w:val="single" w:sz="4" w:color="808080"/>
              <w:left w:val="single" w:sz="4" w:color="808080"/>
              <w:bottom w:val="single" w:sz="4" w:color="808080"/>
              <w:right w:val="single" w:sz="4" w:color="808080"/>
            </w:tcBorders>
          </w:tcPr>
          <w:p>
            <w:r>
              <w:t>FIF pass-through prevention enforcement architecture missing (P3 telecom industry)</w:t>
            </w:r>
          </w:p>
        </w:tc>
        <w:tc>
          <w:tcPr>
            <w:tcW w:type="dxa" w:w="4320"/>
            <w:tcBorders>
              <w:top w:val="single" w:sz="4" w:color="808080"/>
              <w:left w:val="single" w:sz="4" w:color="808080"/>
              <w:bottom w:val="single" w:sz="4" w:color="808080"/>
              <w:right w:val="single" w:sz="4" w:color="808080"/>
            </w:tcBorders>
          </w:tcPr>
          <w:p>
            <w:r>
              <w:t>CLOSED: Mitigated v3.1.6 by adding Pass-Through Prevention Enforcement Architecture section to FIF covering statutory enforcement language, FCC rule-making authority, state PUC complementary authority</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PERSONA-MIN-5</w:t>
            </w:r>
          </w:p>
        </w:tc>
        <w:tc>
          <w:tcPr>
            <w:tcW w:type="dxa" w:w="3744"/>
            <w:tcBorders>
              <w:top w:val="single" w:sz="4" w:color="808080"/>
              <w:left w:val="single" w:sz="4" w:color="808080"/>
              <w:bottom w:val="single" w:sz="4" w:color="808080"/>
              <w:right w:val="single" w:sz="4" w:color="808080"/>
            </w:tcBorders>
          </w:tcPr>
          <w:p>
            <w:r>
              <w:t>FIF Transition Mechanics opaque on phase triggers and contingencies (P3 telecom industry)</w:t>
            </w:r>
          </w:p>
        </w:tc>
        <w:tc>
          <w:tcPr>
            <w:tcW w:type="dxa" w:w="4320"/>
            <w:tcBorders>
              <w:top w:val="single" w:sz="4" w:color="808080"/>
              <w:left w:val="single" w:sz="4" w:color="808080"/>
              <w:bottom w:val="single" w:sz="4" w:color="808080"/>
              <w:right w:val="single" w:sz="4" w:color="808080"/>
            </w:tcBorders>
          </w:tcPr>
          <w:p>
            <w:r>
              <w:t>CLOSED: Mitigated v3.1.6 by adding Phase Transition Trigger Conditions and Contingency Treatment section to FIF Transition Mechanics covering trigger conditions, fast and slow migration contingencies, stranded asset treatment</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PERSONA-MIN-6</w:t>
            </w:r>
          </w:p>
        </w:tc>
        <w:tc>
          <w:tcPr>
            <w:tcW w:type="dxa" w:w="3744"/>
            <w:tcBorders>
              <w:top w:val="single" w:sz="4" w:color="808080"/>
              <w:left w:val="single" w:sz="4" w:color="808080"/>
              <w:bottom w:val="single" w:sz="4" w:color="808080"/>
              <w:right w:val="single" w:sz="4" w:color="808080"/>
            </w:tcBorders>
          </w:tcPr>
          <w:p>
            <w:r>
              <w:t>Emergency Services tribal consultation protocols missing (P4 tribal officer)</w:t>
            </w:r>
          </w:p>
        </w:tc>
        <w:tc>
          <w:tcPr>
            <w:tcW w:type="dxa" w:w="4320"/>
            <w:tcBorders>
              <w:top w:val="single" w:sz="4" w:color="808080"/>
              <w:left w:val="single" w:sz="4" w:color="808080"/>
              <w:bottom w:val="single" w:sz="4" w:color="808080"/>
              <w:right w:val="single" w:sz="4" w:color="808080"/>
            </w:tcBorders>
          </w:tcPr>
          <w:p>
            <w:r>
              <w:t>CLOSED: Mitigated v3.1.6 by adding Tribal Consultation Protocols for Emergency Communications section to Emergency Services covering tribal sovereignty, government-to-government consultation requirements, three-phase consultation process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PERSONA-MIN-7</w:t>
            </w:r>
          </w:p>
        </w:tc>
        <w:tc>
          <w:tcPr>
            <w:tcW w:type="dxa" w:w="3744"/>
            <w:tcBorders>
              <w:top w:val="single" w:sz="4" w:color="808080"/>
              <w:left w:val="single" w:sz="4" w:color="808080"/>
              <w:bottom w:val="single" w:sz="4" w:color="808080"/>
              <w:right w:val="single" w:sz="4" w:color="808080"/>
            </w:tcBorders>
          </w:tcPr>
          <w:p>
            <w:r>
              <w:t>FIF public-purpose exemption ambiguous for tribal infrastructure (P4 tribal officer)</w:t>
            </w:r>
          </w:p>
        </w:tc>
        <w:tc>
          <w:tcPr>
            <w:tcW w:type="dxa" w:w="4320"/>
            <w:tcBorders>
              <w:top w:val="single" w:sz="4" w:color="808080"/>
              <w:left w:val="single" w:sz="4" w:color="808080"/>
              <w:bottom w:val="single" w:sz="4" w:color="808080"/>
              <w:right w:val="single" w:sz="4" w:color="808080"/>
            </w:tcBorders>
          </w:tcPr>
          <w:p>
            <w:r>
              <w:t>CLOSED: Mitigated v3.1.1 by Tribal Telecommunications Enterprises and the Public-Purpose Exemption subsection in FIF (preceding addition; backfilled to Section 47 in v3.1.6)</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PERSONA-MIN-8</w:t>
            </w:r>
          </w:p>
        </w:tc>
        <w:tc>
          <w:tcPr>
            <w:tcW w:type="dxa" w:w="3744"/>
            <w:tcBorders>
              <w:top w:val="single" w:sz="4" w:color="808080"/>
              <w:left w:val="single" w:sz="4" w:color="808080"/>
              <w:bottom w:val="single" w:sz="4" w:color="808080"/>
              <w:right w:val="single" w:sz="4" w:color="808080"/>
            </w:tcBorders>
          </w:tcPr>
          <w:p>
            <w:r>
              <w:t>Calculator decision fatigue for small businesses (P5 small business owner)</w:t>
            </w:r>
          </w:p>
        </w:tc>
        <w:tc>
          <w:tcPr>
            <w:tcW w:type="dxa" w:w="4320"/>
            <w:tcBorders>
              <w:top w:val="single" w:sz="4" w:color="808080"/>
              <w:left w:val="single" w:sz="4" w:color="808080"/>
              <w:bottom w:val="single" w:sz="4" w:color="808080"/>
              <w:right w:val="single" w:sz="4" w:color="808080"/>
            </w:tcBorders>
          </w:tcPr>
          <w:p>
            <w:r>
              <w:t>CLOSED: Mitigated v3.1.6 by adding Small-Business Calculator Quick-Start Path section to FIF covering material vs non-material inputs, recommended defaults, quick-start workflow, when not appropriate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PERSONA-MIN-9</w:t>
            </w:r>
          </w:p>
        </w:tc>
        <w:tc>
          <w:tcPr>
            <w:tcW w:type="dxa" w:w="3744"/>
            <w:tcBorders>
              <w:top w:val="single" w:sz="4" w:color="808080"/>
              <w:left w:val="single" w:sz="4" w:color="808080"/>
              <w:bottom w:val="single" w:sz="4" w:color="808080"/>
              <w:right w:val="single" w:sz="4" w:color="808080"/>
            </w:tcBorders>
          </w:tcPr>
          <w:p>
            <w:r>
              <w:t>FIF exemption eligibility unclear for small businesses (P5 small business owner)</w:t>
            </w:r>
          </w:p>
        </w:tc>
        <w:tc>
          <w:tcPr>
            <w:tcW w:type="dxa" w:w="4320"/>
            <w:tcBorders>
              <w:top w:val="single" w:sz="4" w:color="808080"/>
              <w:left w:val="single" w:sz="4" w:color="808080"/>
              <w:bottom w:val="single" w:sz="4" w:color="808080"/>
              <w:right w:val="single" w:sz="4" w:color="808080"/>
            </w:tcBorders>
          </w:tcPr>
          <w:p>
            <w:r>
              <w:t>CLOSED: Mitigated v3.1.6 by adding Exemption Eligibility Decision Aid for Small Businesses section to FIF covering quick eligibility checklist, decision tree, worked example, when to seek further guidance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PERSONA-MIN-10</w:t>
            </w:r>
          </w:p>
        </w:tc>
        <w:tc>
          <w:tcPr>
            <w:tcW w:type="dxa" w:w="3744"/>
            <w:tcBorders>
              <w:top w:val="single" w:sz="4" w:color="808080"/>
              <w:left w:val="single" w:sz="4" w:color="808080"/>
              <w:bottom w:val="single" w:sz="4" w:color="808080"/>
              <w:right w:val="single" w:sz="4" w:color="808080"/>
            </w:tcBorders>
          </w:tcPr>
          <w:p>
            <w:r>
              <w:t>What This Means For You small-business transition timeline compressed (P5 small business owner)</w:t>
            </w:r>
          </w:p>
        </w:tc>
        <w:tc>
          <w:tcPr>
            <w:tcW w:type="dxa" w:w="4320"/>
            <w:tcBorders>
              <w:top w:val="single" w:sz="4" w:color="808080"/>
              <w:left w:val="single" w:sz="4" w:color="808080"/>
              <w:bottom w:val="single" w:sz="4" w:color="808080"/>
              <w:right w:val="single" w:sz="4" w:color="808080"/>
            </w:tcBorders>
          </w:tcPr>
          <w:p>
            <w:r>
              <w:t>CLOSED: Mitigated v3.1.6 by adding Small-Business Year-by-Year Transition Timeline section to What This Means For You covering Year 1 through Year 6-10 and why timeline matters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PERSONA-MIN-11</w:t>
            </w:r>
          </w:p>
        </w:tc>
        <w:tc>
          <w:tcPr>
            <w:tcW w:type="dxa" w:w="3744"/>
            <w:tcBorders>
              <w:top w:val="single" w:sz="4" w:color="808080"/>
              <w:left w:val="single" w:sz="4" w:color="808080"/>
              <w:bottom w:val="single" w:sz="4" w:color="808080"/>
              <w:right w:val="single" w:sz="4" w:color="808080"/>
            </w:tcBorders>
          </w:tcPr>
          <w:p>
            <w:r>
              <w:t>Does This Raise Taxes net-impact calculation opaque (P6 concerned citizen)</w:t>
            </w:r>
          </w:p>
        </w:tc>
        <w:tc>
          <w:tcPr>
            <w:tcW w:type="dxa" w:w="4320"/>
            <w:tcBorders>
              <w:top w:val="single" w:sz="4" w:color="808080"/>
              <w:left w:val="single" w:sz="4" w:color="808080"/>
              <w:bottom w:val="single" w:sz="4" w:color="808080"/>
              <w:right w:val="single" w:sz="4" w:color="808080"/>
            </w:tcBorders>
          </w:tcPr>
          <w:p>
            <w:r>
              <w:t>CLOSED: Mitigated v3.1.6 by adding Net Household Impact section to Does This Raise Taxes with concrete dollar figures for five representative household types across income distribution</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PERSONA-MIN-12</w:t>
            </w:r>
          </w:p>
        </w:tc>
        <w:tc>
          <w:tcPr>
            <w:tcW w:type="dxa" w:w="3744"/>
            <w:tcBorders>
              <w:top w:val="single" w:sz="4" w:color="808080"/>
              <w:left w:val="single" w:sz="4" w:color="808080"/>
              <w:bottom w:val="single" w:sz="4" w:color="808080"/>
              <w:right w:val="single" w:sz="4" w:color="808080"/>
            </w:tcBorders>
          </w:tcPr>
          <w:p>
            <w:r>
              <w:t>What This Means For You healthcare transition anxiety unaddressed (P6 concerned citizen)</w:t>
            </w:r>
          </w:p>
        </w:tc>
        <w:tc>
          <w:tcPr>
            <w:tcW w:type="dxa" w:w="4320"/>
            <w:tcBorders>
              <w:top w:val="single" w:sz="4" w:color="808080"/>
              <w:left w:val="single" w:sz="4" w:color="808080"/>
              <w:bottom w:val="single" w:sz="4" w:color="808080"/>
              <w:right w:val="single" w:sz="4" w:color="808080"/>
            </w:tcBorders>
          </w:tcPr>
          <w:p>
            <w:r>
              <w:t>CLOSED: Mitigated v3.1.6 by adding Healthcare Transition Frequently Asked Questions section to What This Means For You covering current doctor, prescriptions, employer plan, job loss, specialists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PERSONA-MIN-13</w:t>
            </w:r>
          </w:p>
        </w:tc>
        <w:tc>
          <w:tcPr>
            <w:tcW w:type="dxa" w:w="3744"/>
            <w:tcBorders>
              <w:top w:val="single" w:sz="4" w:color="808080"/>
              <w:left w:val="single" w:sz="4" w:color="808080"/>
              <w:bottom w:val="single" w:sz="4" w:color="808080"/>
              <w:right w:val="single" w:sz="4" w:color="808080"/>
            </w:tcBorders>
          </w:tcPr>
          <w:p>
            <w:r>
              <w:t>What This Means For You Social Security framing implicit (P6 concerned citizen)</w:t>
            </w:r>
          </w:p>
        </w:tc>
        <w:tc>
          <w:tcPr>
            <w:tcW w:type="dxa" w:w="4320"/>
            <w:tcBorders>
              <w:top w:val="single" w:sz="4" w:color="808080"/>
              <w:left w:val="single" w:sz="4" w:color="808080"/>
              <w:bottom w:val="single" w:sz="4" w:color="808080"/>
              <w:right w:val="single" w:sz="4" w:color="808080"/>
            </w:tcBorders>
          </w:tcPr>
          <w:p>
            <w:r>
              <w:t>CLOSED: Mitigated v3.1.6 by adding Social Security Benefits Under the Platform section to What This Means For You with explicit not-reduced statement plus explanation and what does change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PERSONA-SIG-3</w:t>
            </w:r>
          </w:p>
        </w:tc>
        <w:tc>
          <w:tcPr>
            <w:tcW w:type="dxa" w:w="3744"/>
            <w:tcBorders>
              <w:top w:val="single" w:sz="4" w:color="808080"/>
              <w:left w:val="single" w:sz="4" w:color="808080"/>
              <w:bottom w:val="single" w:sz="4" w:color="808080"/>
              <w:right w:val="single" w:sz="4" w:color="808080"/>
            </w:tcBorders>
          </w:tcPr>
          <w:p>
            <w:r>
              <w:t>Healthcare provider payment rate-setting mechanism unspecified (P7 healthcare provider)</w:t>
            </w:r>
          </w:p>
        </w:tc>
        <w:tc>
          <w:tcPr>
            <w:tcW w:type="dxa" w:w="4320"/>
            <w:tcBorders>
              <w:top w:val="single" w:sz="4" w:color="808080"/>
              <w:left w:val="single" w:sz="4" w:color="808080"/>
              <w:bottom w:val="single" w:sz="4" w:color="808080"/>
              <w:right w:val="single" w:sz="4" w:color="808080"/>
            </w:tcBorders>
          </w:tcPr>
          <w:p>
            <w:r>
              <w:t>OPEN: Requires healthcare-economics and healthcare-administration expertise to specify rate-setting mechanism (who sets rates, on what cadence, through what mechanism, with what appeal process); explicit external-review path acknowledged;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PERSONA-SIG-4</w:t>
            </w:r>
          </w:p>
        </w:tc>
        <w:tc>
          <w:tcPr>
            <w:tcW w:type="dxa" w:w="3744"/>
            <w:tcBorders>
              <w:top w:val="single" w:sz="4" w:color="808080"/>
              <w:left w:val="single" w:sz="4" w:color="808080"/>
              <w:bottom w:val="single" w:sz="4" w:color="808080"/>
              <w:right w:val="single" w:sz="4" w:color="808080"/>
            </w:tcBorders>
          </w:tcPr>
          <w:p>
            <w:r>
              <w:t>Direct tax clause analysis insufficient depth for wealth-surcharge architecture (P8 constitutional law scholar)</w:t>
            </w:r>
          </w:p>
        </w:tc>
        <w:tc>
          <w:tcPr>
            <w:tcW w:type="dxa" w:w="4320"/>
            <w:tcBorders>
              <w:top w:val="single" w:sz="4" w:color="808080"/>
              <w:left w:val="single" w:sz="4" w:color="808080"/>
              <w:bottom w:val="single" w:sz="4" w:color="808080"/>
              <w:right w:val="single" w:sz="4" w:color="808080"/>
            </w:tcBorders>
          </w:tcPr>
          <w:p>
            <w:r>
              <w:t>OPEN: Requires constitutional law expertise to provide direct-tax-clause analysis at depth appropriate for the architectural novelty; CON-2 already tracks constitutional review need; this entry surfaces the specific direct-tax-clause depth gap;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PERSONA-SIG-5</w:t>
            </w:r>
          </w:p>
        </w:tc>
        <w:tc>
          <w:tcPr>
            <w:tcW w:type="dxa" w:w="3744"/>
            <w:tcBorders>
              <w:top w:val="single" w:sz="4" w:color="808080"/>
              <w:left w:val="single" w:sz="4" w:color="808080"/>
              <w:bottom w:val="single" w:sz="4" w:color="808080"/>
              <w:right w:val="single" w:sz="4" w:color="808080"/>
            </w:tcBorders>
          </w:tcPr>
          <w:p>
            <w:r>
              <w:t>Sovereign Fund investment policy framework specificity insufficient (P10 investment manager)</w:t>
            </w:r>
          </w:p>
        </w:tc>
        <w:tc>
          <w:tcPr>
            <w:tcW w:type="dxa" w:w="4320"/>
            <w:tcBorders>
              <w:top w:val="single" w:sz="4" w:color="808080"/>
              <w:left w:val="single" w:sz="4" w:color="808080"/>
              <w:bottom w:val="single" w:sz="4" w:color="808080"/>
              <w:right w:val="single" w:sz="4" w:color="808080"/>
            </w:tcBorders>
          </w:tcPr>
          <w:p>
            <w:r>
              <w:t>OPEN: Requires institutional-investor expertise (sovereign-wealth-fund management experience) to specify asset-allocation policy, benchmark selection, risk tolerance, ESG integration, active-versus-passive split; OPEN-2 already tracks high-earner architecture review; this entry surfaces the parallel investment-policy gap; engagement specification documented in 05_External_Engagement_Plan.docx (v3.1.11).</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PERSONA-MIN-14</w:t>
            </w:r>
          </w:p>
        </w:tc>
        <w:tc>
          <w:tcPr>
            <w:tcW w:type="dxa" w:w="3744"/>
            <w:tcBorders>
              <w:top w:val="single" w:sz="4" w:color="808080"/>
              <w:left w:val="single" w:sz="4" w:color="808080"/>
              <w:bottom w:val="single" w:sz="4" w:color="808080"/>
              <w:right w:val="single" w:sz="4" w:color="808080"/>
            </w:tcBorders>
          </w:tcPr>
          <w:p>
            <w:r>
              <w:t>EHR integration path missing in healthcare architecture (P7 healthcare provider)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(Healthcare Operations section, EHR integration subsection): platform position is 21st Century Cures Act / ONC certification / FHIR R4 as integration substrate; transition assistance via existing CMS payment-incentive mechanisms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PERSONA-MIN-15</w:t>
            </w:r>
          </w:p>
        </w:tc>
        <w:tc>
          <w:tcPr>
            <w:tcW w:type="dxa" w:w="3744"/>
            <w:tcBorders>
              <w:top w:val="single" w:sz="4" w:color="808080"/>
              <w:left w:val="single" w:sz="4" w:color="808080"/>
              <w:bottom w:val="single" w:sz="4" w:color="808080"/>
              <w:right w:val="single" w:sz="4" w:color="808080"/>
            </w:tcBorders>
          </w:tcPr>
          <w:p>
            <w:r>
              <w:t>Specialty referral process opacity in What This Means For You (P7 healthcare provider)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(Healthcare Operations section, Specialty Referral Process subsection): direct access for primary/emergency/mental health, gatekeeper for specialty care; appeal process modeled on Medicare Advantage structure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PERSONA-MIN-16</w:t>
            </w:r>
          </w:p>
        </w:tc>
        <w:tc>
          <w:tcPr>
            <w:tcW w:type="dxa" w:w="3744"/>
            <w:tcBorders>
              <w:top w:val="single" w:sz="4" w:color="808080"/>
              <w:left w:val="single" w:sz="4" w:color="808080"/>
              <w:bottom w:val="single" w:sz="4" w:color="808080"/>
              <w:right w:val="single" w:sz="4" w:color="808080"/>
            </w:tcBorders>
          </w:tcPr>
          <w:p>
            <w:r>
              <w:t>Malpractice and liability treatment missing in healthcare architecture (P7 healthcare provider)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(Healthcare Operations section, Malpractice subsection): malpractice remains state-law domain; platform does not include federal malpractice reform; cost trajectory accounts for current malpractice insurance environment as baseline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PERSONA-MIN-17</w:t>
            </w:r>
          </w:p>
        </w:tc>
        <w:tc>
          <w:tcPr>
            <w:tcW w:type="dxa" w:w="3744"/>
            <w:tcBorders>
              <w:top w:val="single" w:sz="4" w:color="808080"/>
              <w:left w:val="single" w:sz="4" w:color="808080"/>
              <w:bottom w:val="single" w:sz="4" w:color="808080"/>
              <w:right w:val="single" w:sz="4" w:color="808080"/>
            </w:tcBorders>
          </w:tcPr>
          <w:p>
            <w:r>
              <w:t>Commerce clause analysis limited for FIF (P8 constitutional law scholar)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(Constitutional Review section, Commerce Clause subsection): FIF commerce-clause foundation parallel to USF (USF upheld in Texas Office of Public Utility Counsel v. FCC, 5th Cir. 1999)</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PERSONA-MIN-18</w:t>
            </w:r>
          </w:p>
        </w:tc>
        <w:tc>
          <w:tcPr>
            <w:tcW w:type="dxa" w:w="3744"/>
            <w:tcBorders>
              <w:top w:val="single" w:sz="4" w:color="808080"/>
              <w:left w:val="single" w:sz="4" w:color="808080"/>
              <w:bottom w:val="single" w:sz="4" w:color="808080"/>
              <w:right w:val="single" w:sz="4" w:color="808080"/>
            </w:tcBorders>
          </w:tcPr>
          <w:p>
            <w:r>
              <w:t>Takings clause stranded-asset just-compensation analysis missing (P8 constitutional law scholar)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(Constitutional Review section, Takings Clause subsection): stranded-asset acquisition follows established eminent-domain procedures; just-compensation per fair-market-value standard with utility-asset-specific methodologies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PERSONA-MIN-19</w:t>
            </w:r>
          </w:p>
        </w:tc>
        <w:tc>
          <w:tcPr>
            <w:tcW w:type="dxa" w:w="3744"/>
            <w:tcBorders>
              <w:top w:val="single" w:sz="4" w:color="808080"/>
              <w:left w:val="single" w:sz="4" w:color="808080"/>
              <w:bottom w:val="single" w:sz="4" w:color="808080"/>
              <w:right w:val="single" w:sz="4" w:color="808080"/>
            </w:tcBorders>
          </w:tcPr>
          <w:p>
            <w:r>
              <w:t>Federalism preemption analysis implicit rather than explicit (P8 constitutional law scholar)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(Constitutional Review section, Federalism Preemption subsection): preemption posture varies by component (express for FIF, conflict for Pillar Eight, cooperative federalism for healthcare and education)</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PERSONA-MIN-20</w:t>
            </w:r>
          </w:p>
        </w:tc>
        <w:tc>
          <w:tcPr>
            <w:tcW w:type="dxa" w:w="3744"/>
            <w:tcBorders>
              <w:top w:val="single" w:sz="4" w:color="808080"/>
              <w:left w:val="single" w:sz="4" w:color="808080"/>
              <w:bottom w:val="single" w:sz="4" w:color="808080"/>
              <w:right w:val="single" w:sz="4" w:color="808080"/>
            </w:tcBorders>
          </w:tcPr>
          <w:p>
            <w:r>
              <w:t>State fiscal impact specificity missing in FFIA (P9 state policy official)</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(State-Level Implementation section, State Fiscal Impact subsection): state-by-state variation characterized by Medicaid expansion status, education spending baseline, paid-leave program existence, income-tax conformity status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PERSONA-MIN-21</w:t>
            </w:r>
          </w:p>
        </w:tc>
        <w:tc>
          <w:tcPr>
            <w:tcW w:type="dxa" w:w="3744"/>
            <w:tcBorders>
              <w:top w:val="single" w:sz="4" w:color="808080"/>
              <w:left w:val="single" w:sz="4" w:color="808080"/>
              <w:bottom w:val="single" w:sz="4" w:color="808080"/>
              <w:right w:val="single" w:sz="4" w:color="808080"/>
            </w:tcBorders>
          </w:tcPr>
          <w:p>
            <w:r>
              <w:t>State implementation timeline compressed in FIF Transition Mechanics (P9 state policy official)</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(State-Level Implementation section, State Implementation Timeline subsection): parallel rather than sequential implementation; federal transition assistance for state employees, IT, statute updates; hold-harmless provisions during transition window</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PERSONA-MIN-22</w:t>
            </w:r>
          </w:p>
        </w:tc>
        <w:tc>
          <w:tcPr>
            <w:tcW w:type="dxa" w:w="3744"/>
            <w:tcBorders>
              <w:top w:val="single" w:sz="4" w:color="808080"/>
              <w:left w:val="single" w:sz="4" w:color="808080"/>
              <w:bottom w:val="single" w:sz="4" w:color="808080"/>
              <w:right w:val="single" w:sz="4" w:color="808080"/>
            </w:tcBorders>
          </w:tcPr>
          <w:p>
            <w:r>
              <w:t>Federal-state data-sharing mechanisms not specified (P9 state policy official)</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(State-Level Implementation section, Data-Sharing Mechanisms subsection): existing federal-state data-sharing models as substrate (HIPAA / FTI / federal data services hub / FCC Form 477); formal interagency agreements for governance</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PERSONA-MIN-23</w:t>
            </w:r>
          </w:p>
        </w:tc>
        <w:tc>
          <w:tcPr>
            <w:tcW w:type="dxa" w:w="3744"/>
            <w:tcBorders>
              <w:top w:val="single" w:sz="4" w:color="808080"/>
              <w:left w:val="single" w:sz="4" w:color="808080"/>
              <w:bottom w:val="single" w:sz="4" w:color="808080"/>
              <w:right w:val="single" w:sz="4" w:color="808080"/>
            </w:tcBorders>
          </w:tcPr>
          <w:p>
            <w:r>
              <w:t>Sovereign Fund market impact at scale not addressed (P10 investment manager)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(Sovereign Fund Investment Operations section, Market Impact subsection): gradual position-building; index-replicating public-market approach; co-investment private-market approach; published deployment cadence and transparency standards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PERSONA-MIN-24</w:t>
            </w:r>
          </w:p>
        </w:tc>
        <w:tc>
          <w:tcPr>
            <w:tcW w:type="dxa" w:w="3744"/>
            <w:tcBorders>
              <w:top w:val="single" w:sz="4" w:color="808080"/>
              <w:left w:val="single" w:sz="4" w:color="808080"/>
              <w:bottom w:val="single" w:sz="4" w:color="808080"/>
              <w:right w:val="single" w:sz="4" w:color="808080"/>
            </w:tcBorders>
          </w:tcPr>
          <w:p>
            <w:r>
              <w:t>Pension fund interaction at asset-management level not addressed (P10 investment manager)</w:t>
            </w:r>
          </w:p>
        </w:tc>
        <w:tc>
          <w:tcPr>
            <w:tcW w:type="dxa" w:w="4320"/>
            <w:tcBorders>
              <w:top w:val="single" w:sz="4" w:color="808080"/>
              <w:left w:val="single" w:sz="4" w:color="808080"/>
              <w:bottom w:val="single" w:sz="4" w:color="808080"/>
              <w:right w:val="single" w:sz="4" w:color="808080"/>
            </w:tcBorders>
          </w:tcPr>
          <w:p>
            <w:r>
              <w:t>CLOSED: Mitigated v3.2.1 in 05_Architectural_Intent_Mitigations.docx (Sovereign Fund Investment Operations section, Pension Fund Interaction subsection): complementary rather than competitive interaction; index-replicating approach mitigates public-equity price effects; co-investment expands deal flow for existing institutional investors</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PERSONA-MIN-25</w:t>
            </w:r>
          </w:p>
        </w:tc>
        <w:tc>
          <w:tcPr>
            <w:tcW w:type="dxa" w:w="3744"/>
            <w:tcBorders>
              <w:top w:val="single" w:sz="4" w:color="808080"/>
              <w:left w:val="single" w:sz="4" w:color="808080"/>
              <w:bottom w:val="single" w:sz="4" w:color="808080"/>
              <w:right w:val="single" w:sz="4" w:color="808080"/>
            </w:tcBorders>
          </w:tcPr>
          <w:p>
            <w:r>
              <w:t>Self-employed contribution mechanism not specified (P11 self-employed worker)</w:t>
            </w:r>
          </w:p>
        </w:tc>
        <w:tc>
          <w:tcPr>
            <w:tcW w:type="dxa" w:w="4320"/>
            <w:tcBorders>
              <w:top w:val="single" w:sz="4" w:color="808080"/>
              <w:left w:val="single" w:sz="4" w:color="808080"/>
              <w:bottom w:val="single" w:sz="4" w:color="808080"/>
              <w:right w:val="single" w:sz="4" w:color="808080"/>
            </w:tcBorders>
          </w:tcPr>
          <w:p>
            <w:r>
              <w:t>CLOSED: Mitigated v3.1.10 by adding Self-Employed Contribution Mechanism section to dedicated 05_Self_Employed_and_Gig_Worker_Implementation document covering FICA-convention split applied to self-employment, calculation walk-through, application across all platform contributions, Schedule C versus Schedule SE treatment</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PERSONA-MIN-26</w:t>
            </w:r>
          </w:p>
        </w:tc>
        <w:tc>
          <w:tcPr>
            <w:tcW w:type="dxa" w:w="3744"/>
            <w:tcBorders>
              <w:top w:val="single" w:sz="4" w:color="808080"/>
              <w:left w:val="single" w:sz="4" w:color="808080"/>
              <w:bottom w:val="single" w:sz="4" w:color="808080"/>
              <w:right w:val="single" w:sz="4" w:color="808080"/>
            </w:tcBorders>
          </w:tcPr>
          <w:p>
            <w:r>
              <w:t>Gig worker multi-employer treatment not addressed (P11 self-employed worker)</w:t>
            </w:r>
          </w:p>
        </w:tc>
        <w:tc>
          <w:tcPr>
            <w:tcW w:type="dxa" w:w="4320"/>
            <w:tcBorders>
              <w:top w:val="single" w:sz="4" w:color="808080"/>
              <w:left w:val="single" w:sz="4" w:color="808080"/>
              <w:bottom w:val="single" w:sz="4" w:color="808080"/>
              <w:right w:val="single" w:sz="4" w:color="808080"/>
            </w:tcBorders>
          </w:tcPr>
          <w:p>
            <w:r>
              <w:t>CLOSED: Mitigated v3.1.10 by adding Gig Worker Multi-Employer Treatment section to dedicated 05_Self_Employed_and_Gig_Worker_Implementation document covering worker-side self-administration default, optional platform-side collection for large platforms, cross-platform aggregate threshold treatment</w:t>
            </w:r>
          </w:p>
        </w:tc>
        <w:tc>
          <w:tcPr>
            <w:tcW w:type="dxa" w:w="1152"/>
            <w:tcBorders>
              <w:top w:val="single" w:sz="4" w:color="808080"/>
              <w:left w:val="single" w:sz="4" w:color="808080"/>
              <w:bottom w:val="single" w:sz="4" w:color="808080"/>
              <w:right w:val="single" w:sz="4" w:color="808080"/>
            </w:tcBorders>
          </w:tcPr>
          <w:p>
            <w:r>
              <w:t>Y</w:t>
            </w:r>
          </w:p>
        </w:tc>
      </w:tr>
      <w:tr>
        <w:tc>
          <w:tcPr>
            <w:tcW w:type="dxa" w:w="1296"/>
            <w:tcBorders>
              <w:top w:val="single" w:sz="4" w:color="808080"/>
              <w:left w:val="single" w:sz="4" w:color="808080"/>
              <w:bottom w:val="single" w:sz="4" w:color="808080"/>
              <w:right w:val="single" w:sz="4" w:color="808080"/>
            </w:tcBorders>
          </w:tcPr>
          <w:p>
            <w:r>
              <w:t>PERSONA-MIN-27</w:t>
            </w:r>
          </w:p>
        </w:tc>
        <w:tc>
          <w:tcPr>
            <w:tcW w:type="dxa" w:w="3744"/>
            <w:tcBorders>
              <w:top w:val="single" w:sz="4" w:color="808080"/>
              <w:left w:val="single" w:sz="4" w:color="808080"/>
              <w:bottom w:val="single" w:sz="4" w:color="808080"/>
              <w:right w:val="single" w:sz="4" w:color="808080"/>
            </w:tcBorders>
          </w:tcPr>
          <w:p>
            <w:r>
              <w:t>Quarterly payment integration unspecified for self-employed (P11 self-employed worker)</w:t>
            </w:r>
          </w:p>
        </w:tc>
        <w:tc>
          <w:tcPr>
            <w:tcW w:type="dxa" w:w="4320"/>
            <w:tcBorders>
              <w:top w:val="single" w:sz="4" w:color="808080"/>
              <w:left w:val="single" w:sz="4" w:color="808080"/>
              <w:bottom w:val="single" w:sz="4" w:color="808080"/>
              <w:right w:val="single" w:sz="4" w:color="808080"/>
            </w:tcBorders>
          </w:tcPr>
          <w:p>
            <w:r>
              <w:t>CLOSED: Mitigated v3.1.10 by adding Quarterly Payment Integration section to dedicated 05_Self_Employed_and_Gig_Worker_Implementation document covering consolidated quarterly payment with existing Form 1040-ES, estimated tax computation, safe harbor provisions</w:t>
            </w:r>
          </w:p>
        </w:tc>
        <w:tc>
          <w:tcPr>
            <w:tcW w:type="dxa" w:w="1152"/>
            <w:tcBorders>
              <w:top w:val="single" w:sz="4" w:color="808080"/>
              <w:left w:val="single" w:sz="4" w:color="808080"/>
              <w:bottom w:val="single" w:sz="4" w:color="808080"/>
              <w:right w:val="single" w:sz="4" w:color="808080"/>
            </w:tcBorders>
          </w:tcPr>
          <w:p>
            <w:r>
              <w:t>Y</w:t>
            </w:r>
          </w:p>
        </w:tc>
      </w:tr>
      <w:tr>
        <w:tc>
          <w:tcPr>
            <w:tcW w:type="dxa" w:w="2340"/>
          </w:tcPr>
          <w:p>
            <w:r>
              <w:t>RESEARCH-9</w:t>
            </w:r>
          </w:p>
        </w:tc>
        <w:tc>
          <w:tcPr>
            <w:tcW w:type="dxa" w:w="2340"/>
          </w:tcPr>
          <w:p>
            <w:r>
              <w:t>LTC workforce capacity adequacy at full implementation</w:t>
            </w:r>
          </w:p>
        </w:tc>
        <w:tc>
          <w:tcPr>
            <w:tcW w:type="dxa" w:w="2340"/>
          </w:tcPr>
          <w:p>
            <w:r>
              <w:t>OPEN: Documented v3.3.0 in 05_Universal_Long_Term_Care_Substantiation.docx: provides phase-in framework recognizing extended buildout (paralleling the eighteen-year childcare phase-in approach) to address workforce constraints. Issue resolution requires LTC-sector workforce-economics expertise to validate the phase-in trajectory and identify specific workforce-development investments required to bring supply to parity with universal-coverage demand. Added to Section 47 in v3.7.8.</w:t>
            </w:r>
          </w:p>
        </w:tc>
        <w:tc>
          <w:tcPr>
            <w:tcW w:type="dxa" w:w="2340"/>
          </w:tcPr>
          <w:p>
            <w:r>
              <w:t>Y</w:t>
            </w:r>
          </w:p>
        </w:tc>
      </w:tr>
      <w:tr>
        <w:tc>
          <w:tcPr>
            <w:tcW w:type="dxa" w:w="2340"/>
          </w:tcPr>
          <w:p>
            <w:r>
              <w:t>RESEARCH-10</w:t>
            </w:r>
          </w:p>
        </w:tc>
        <w:tc>
          <w:tcPr>
            <w:tcW w:type="dxa" w:w="2340"/>
          </w:tcPr>
          <w:p>
            <w:r>
              <w:t>Pillar Nine benefit-cost projection validation ($525-700B at full implementation)</w:t>
            </w:r>
          </w:p>
        </w:tc>
        <w:tc>
          <w:tcPr>
            <w:tcW w:type="dxa" w:w="2340"/>
          </w:tcPr>
          <w:p>
            <w:r>
              <w:t>OPEN: Documented v3.3.0 in 05_Universal_Long_Term_Care_Substantiation.docx and 05_Federal_Fiscal_Impact_Analysis.docx: provides cost projection range with three-mechanism gap-closure framework (existing federal LTC offset, dual-eligible cost integration, productivity gain reallocation). Issue resolution requires healthcare and LTC economics expertise to validate the cost range and gap-closure mechanisms against independent actuarial methodology. Added to Section 47 in v3.7.8.</w:t>
            </w:r>
          </w:p>
        </w:tc>
        <w:tc>
          <w:tcPr>
            <w:tcW w:type="dxa" w:w="2340"/>
          </w:tcPr>
          <w:p>
            <w:r>
              <w:t>Y</w:t>
            </w:r>
          </w:p>
        </w:tc>
      </w:tr>
      <w:tr>
        <w:tc>
          <w:tcPr>
            <w:tcW w:type="dxa" w:w="2340"/>
          </w:tcPr>
          <w:p>
            <w:r>
              <w:t>PERSONA-SIG-6</w:t>
            </w:r>
          </w:p>
        </w:tc>
        <w:tc>
          <w:tcPr>
            <w:tcW w:type="dxa" w:w="2340"/>
          </w:tcPr>
          <w:p>
            <w:r>
              <w:t>Pillar Nine interaction with state Medicaid LTC programs (significant state variation)</w:t>
            </w:r>
          </w:p>
        </w:tc>
        <w:tc>
          <w:tcPr>
            <w:tcW w:type="dxa" w:w="2340"/>
          </w:tcPr>
          <w:p>
            <w:r>
              <w:t>OPEN: Documented v3.3.0 in 05_Universal_Long_Term_Care_Substantiation.docx: addresses dual-eligible integration at the federal-as-floor level. Issue resolution requires state-Medicaid program expertise to identify state-specific transition mechanisms, address state-level legacy LTC institutions and home-and-community-based-services waivers, and analyze constitutional federalism considerations for the federal-as-floor approach in long-term care. Added to Section 47 in v3.7.8.</w:t>
            </w:r>
          </w:p>
        </w:tc>
        <w:tc>
          <w:tcPr>
            <w:tcW w:type="dxa" w:w="2340"/>
          </w:tcPr>
          <w:p>
            <w:r>
              <w:t>Y</w:t>
            </w:r>
          </w:p>
        </w:tc>
      </w:tr>
      <w:tr>
        <w:tc>
          <w:tcPr>
            <w:tcW w:type="dxa" w:w="2340"/>
          </w:tcPr>
          <w:p>
            <w:r>
              <w:t>RESEARCH-11</w:t>
            </w:r>
          </w:p>
        </w:tc>
        <w:tc>
          <w:tcPr>
            <w:tcW w:type="dxa" w:w="2340"/>
          </w:tcPr>
          <w:p>
            <w:r>
              <w:t>Federal Housing Investment market effects on supply, prices, and geographic distribution</w:t>
            </w:r>
          </w:p>
        </w:tc>
        <w:tc>
          <w:tcPr>
            <w:tcW w:type="dxa" w:w="2340"/>
          </w:tcPr>
          <w:p>
            <w:r>
              <w:t>OPEN: Documented v3.4.0 in 05_Federal_Housing_Investment_Substantiation.docx: provides aggregate framework with $145B annual investment level and three-channel impact model (direct construction, supply-side regulatory unblocking, geographic targeting). Issue resolution requires housing-economics expertise to validate market-impact projections, identify supply-side constraints (state and local zoning, construction labor, materials), and project regional distributional effects. Added to Section 47 in v3.7.8.</w:t>
            </w:r>
          </w:p>
        </w:tc>
        <w:tc>
          <w:tcPr>
            <w:tcW w:type="dxa" w:w="2340"/>
          </w:tcPr>
          <w:p>
            <w:r>
              <w:t>Y</w:t>
            </w:r>
          </w:p>
        </w:tc>
      </w:tr>
      <w:tr>
        <w:tc>
          <w:tcPr>
            <w:tcW w:type="dxa" w:w="2340"/>
          </w:tcPr>
          <w:p>
            <w:r>
              <w:t>PERSONA-SIG-7</w:t>
            </w:r>
          </w:p>
        </w:tc>
        <w:tc>
          <w:tcPr>
            <w:tcW w:type="dxa" w:w="2340"/>
          </w:tcPr>
          <w:p>
            <w:r>
              <w:t>Pillar Ten integration with existing HUD programs (Section 8, public housing, LIHTC)</w:t>
            </w:r>
          </w:p>
        </w:tc>
        <w:tc>
          <w:tcPr>
            <w:tcW w:type="dxa" w:w="2340"/>
          </w:tcPr>
          <w:p>
            <w:r>
              <w:t>OPEN: Documented v3.4.0 in 05_Federal_Housing_Investment_Substantiation.docx: provides architectural integration framework. Issue resolution requires Department of Housing and Urban Development (HUD) policy expertise to design specific transition mechanisms preserving existing program continuity (Section 8 voucher continuity, public housing authority preservation, Low-Income Housing Tax Credit integration) while implementing the federal investment architecture. Added to Section 47 in v3.7.8.</w:t>
            </w:r>
          </w:p>
        </w:tc>
        <w:tc>
          <w:tcPr>
            <w:tcW w:type="dxa" w:w="2340"/>
          </w:tcPr>
          <w:p>
            <w:r>
              <w:t>Y</w:t>
            </w:r>
          </w:p>
        </w:tc>
      </w:tr>
      <w:tr>
        <w:tc>
          <w:tcPr>
            <w:tcW w:type="dxa" w:w="2340"/>
          </w:tcPr>
          <w:p>
            <w:r>
              <w:t>RESEARCH-12</w:t>
            </w:r>
          </w:p>
        </w:tc>
        <w:tc>
          <w:tcPr>
            <w:tcW w:type="dxa" w:w="2340"/>
          </w:tcPr>
          <w:p>
            <w:r>
              <w:t>Carbon pricing distributional effects across income deciles and geographic regions ($50 to $100 per ton phase-in)</w:t>
            </w:r>
          </w:p>
        </w:tc>
        <w:tc>
          <w:tcPr>
            <w:tcW w:type="dxa" w:w="2340"/>
          </w:tcPr>
          <w:p>
            <w:r>
              <w:t>OPEN: Documented v3.5.0 in 05_Climate_Architecture_Substantiation.docx: provides 50/50 dividend/investment split as architectural mitigation of regressive incidence. Issue resolution requires environmental-economics expertise to model household-level distributional effects using consumption-survey data, validate the per-capita dividend's adequacy across income deciles (especially rural and high-energy-burden households), and quantify regional incidence variation. Added to Section 47 in v3.7.8.</w:t>
            </w:r>
          </w:p>
        </w:tc>
        <w:tc>
          <w:tcPr>
            <w:tcW w:type="dxa" w:w="2340"/>
          </w:tcPr>
          <w:p>
            <w:r>
              <w:t>Y</w:t>
            </w:r>
          </w:p>
        </w:tc>
      </w:tr>
      <w:tr>
        <w:tc>
          <w:tcPr>
            <w:tcW w:type="dxa" w:w="2340"/>
          </w:tcPr>
          <w:p>
            <w:r>
              <w:t>RESEARCH-13</w:t>
            </w:r>
          </w:p>
        </w:tc>
        <w:tc>
          <w:tcPr>
            <w:tcW w:type="dxa" w:w="2340"/>
          </w:tcPr>
          <w:p>
            <w:r>
              <w:t>Carbon dividend mechanism implementation design (eligibility, frequency, treatment of dependents, administrative integration)</w:t>
            </w:r>
          </w:p>
        </w:tc>
        <w:tc>
          <w:tcPr>
            <w:tcW w:type="dxa" w:w="2340"/>
          </w:tcPr>
          <w:p>
            <w:r>
              <w:t>OPEN: Documented v3.5.0 in 05_Climate_Architecture_Substantiation.docx: provides architectural intent (per-capita rebate) without mechanism specification. Issue resolution requires policy-design expertise drawing on Regional Greenhouse Gas Initiative (RGGI), British Columbia carbon-tax-and-rebate, and Alaska Permanent Fund Dividend precedents to specify eligibility rules, payment frequency, treatment of children and dependents, and administrative integration with existing federal benefit infrastructure. Added to Section 47 in v3.7.8.</w:t>
            </w:r>
          </w:p>
        </w:tc>
        <w:tc>
          <w:tcPr>
            <w:tcW w:type="dxa" w:w="2340"/>
          </w:tcPr>
          <w:p>
            <w:r>
              <w:t>Y</w:t>
            </w:r>
          </w:p>
        </w:tc>
      </w:tr>
      <w:tr>
        <w:tc>
          <w:tcPr>
            <w:tcW w:type="dxa" w:w="2340"/>
          </w:tcPr>
          <w:p>
            <w:r>
              <w:t>PERSONA-SIG-8</w:t>
            </w:r>
          </w:p>
        </w:tc>
        <w:tc>
          <w:tcPr>
            <w:tcW w:type="dxa" w:w="2340"/>
          </w:tcPr>
          <w:p>
            <w:r>
              <w:t>Carbon border adjustment mechanism design for WTO compatibility</w:t>
            </w:r>
          </w:p>
        </w:tc>
        <w:tc>
          <w:tcPr>
            <w:tcW w:type="dxa" w:w="2340"/>
          </w:tcPr>
          <w:p>
            <w:r>
              <w:t>OPEN: Documented v3.5.0 in 05_Climate_Architecture_Substantiation.docx: identifies border adjustment as necessary mitigation for carbon leakage and competitiveness preservation. Issue resolution requires international-trade-law expertise to design a World Trade Organization (WTO)-compatible mechanism, accounting for evolving European Union Carbon Border Adjustment Mechanism (EU CBAM) precedent and U.S.-specific legal constraints. Added to Section 47 in v3.7.8.</w:t>
            </w:r>
          </w:p>
        </w:tc>
        <w:tc>
          <w:tcPr>
            <w:tcW w:type="dxa" w:w="2340"/>
          </w:tcPr>
          <w:p>
            <w:r>
              <w:t>Y</w:t>
            </w:r>
          </w:p>
        </w:tc>
      </w:tr>
      <w:tr>
        <w:tc>
          <w:tcPr>
            <w:tcW w:type="dxa" w:w="2340"/>
          </w:tcPr>
          <w:p>
            <w:r>
              <w:t>RESEARCH-14</w:t>
            </w:r>
          </w:p>
        </w:tc>
        <w:tc>
          <w:tcPr>
            <w:tcW w:type="dxa" w:w="2340"/>
          </w:tcPr>
          <w:p>
            <w:r>
              <w:t>Pillar Twelve net fiscal impact validation at proposed scale (CBO-equivalent methodology)</w:t>
            </w:r>
          </w:p>
        </w:tc>
        <w:tc>
          <w:tcPr>
            <w:tcW w:type="dxa" w:w="2340"/>
          </w:tcPr>
          <w:p>
            <w:r>
              <w:t>OPEN: Documented v3.6.0 in 05_Immigration_Architecture_Substantiation.docx and 05_Federal_Fiscal_Impact_Analysis.docx: provides architectural framework citing positive net fiscal impact based on Congressional Budget Office (CBO) methodology for similar scope. Issue resolution requires CBO-equivalent fiscal-impact-modeling expertise to validate the net positive projection over both ten-year and seventy-five-year windows, accounting for second-order effects on labor markets, housing, and federal program participation. Added to Section 47 in v3.7.8.</w:t>
            </w:r>
          </w:p>
        </w:tc>
        <w:tc>
          <w:tcPr>
            <w:tcW w:type="dxa" w:w="2340"/>
          </w:tcPr>
          <w:p>
            <w:r>
              <w:t>Y</w:t>
            </w:r>
          </w:p>
        </w:tc>
      </w:tr>
      <w:tr>
        <w:tc>
          <w:tcPr>
            <w:tcW w:type="dxa" w:w="2340"/>
          </w:tcPr>
          <w:p>
            <w:r>
              <w:t>PERSONA-SIG-9</w:t>
            </w:r>
          </w:p>
        </w:tc>
        <w:tc>
          <w:tcPr>
            <w:tcW w:type="dxa" w:w="2340"/>
          </w:tcPr>
          <w:p>
            <w:r>
              <w:t>Constitutional analysis of federal-as-floor approach for immigration policy</w:t>
            </w:r>
          </w:p>
        </w:tc>
        <w:tc>
          <w:tcPr>
            <w:tcW w:type="dxa" w:w="2340"/>
          </w:tcPr>
          <w:p>
            <w:r>
              <w:t>OPEN: Documented v3.6.0 in 05_Immigration_Architecture_Substantiation.docx: identifies federal-as-floor architecture parallel to other pillars. Issue resolution requires constitutional-law expertise specific to immigration federalism to identify legal vulnerabilities of the federal-as-floor approach for immigration, an area with substantial federal-state tension since Arizona v. United States, 567 U.S. 387 (2012). Added to Section 47 in v3.7.8.</w:t>
            </w:r>
          </w:p>
        </w:tc>
        <w:tc>
          <w:tcPr>
            <w:tcW w:type="dxa" w:w="2340"/>
          </w:tcPr>
          <w:p>
            <w:r>
              <w:t>Y</w:t>
            </w:r>
          </w:p>
        </w:tc>
      </w:tr>
      <w:tr>
        <w:tc>
          <w:tcPr>
            <w:tcW w:type="dxa" w:w="2340"/>
          </w:tcPr>
          <w:p>
            <w:r>
              <w:t>PERSONA-SIG-10</w:t>
            </w:r>
          </w:p>
        </w:tc>
        <w:tc>
          <w:tcPr>
            <w:tcW w:type="dxa" w:w="2340"/>
          </w:tcPr>
          <w:p>
            <w:r>
              <w:t>Pillar Three curriculum-approval body design</w:t>
            </w:r>
          </w:p>
        </w:tc>
        <w:tc>
          <w:tcPr>
            <w:tcW w:type="dxa" w:w="2340"/>
          </w:tcPr>
          <w:p>
            <w:r>
              <w:t>OPEN: Documented v3.7.14 in 05_Sovereign_Education_Fund_Substantiation.docx: provides framework (job-field-backward curriculum design with general-education preservation and exploration paths). Issue resolution requires education-policy expertise to specify the curriculum-approval body's institutional structure, the relationship to existing field-specific accreditation bodies (ABET, LCME, ABA, NCATE, others), the methodology for defining and updating job fields drawing on BLS Standard Occupational Classification codes and industry advisory input, and the academic-freedom protections within the framework. Added to Section 47 in v3.7.14.</w:t>
            </w:r>
          </w:p>
        </w:tc>
        <w:tc>
          <w:tcPr>
            <w:tcW w:type="dxa" w:w="2340"/>
          </w:tcPr>
          <w:p>
            <w:r>
              <w:t>Y</w:t>
            </w:r>
          </w:p>
        </w:tc>
      </w:tr>
      <w:tr>
        <w:tc>
          <w:tcPr>
            <w:tcW w:type="dxa" w:w="2340"/>
          </w:tcPr>
          <w:p>
            <w:r>
              <w:t>PERSONA-SIG-11</w:t>
            </w:r>
          </w:p>
        </w:tc>
        <w:tc>
          <w:tcPr>
            <w:tcW w:type="dxa" w:w="2340"/>
          </w:tcPr>
          <w:p>
            <w:r>
              <w:t>Pillar Three federal liaison program design</w:t>
            </w:r>
          </w:p>
        </w:tc>
        <w:tc>
          <w:tcPr>
            <w:tcW w:type="dxa" w:w="2340"/>
          </w:tcPr>
          <w:p>
            <w:r>
              <w:t>OPEN: Documented v3.7.14 in 05_Sovereign_Education_Fund_Substantiation.docx: provides framework (federally employed liaison on each participating campus, primarily advisory authority, bidirectional channel between federal program design and institutional implementation, modeled on USDA Cooperative Extension Service). Issue resolution requires federal-program-design expertise to specify the liaison program's governance, training pathway, deployment mechanics, rotation policy, and authority boundary. The Cooperative Extension Service is the closest parallel; institutional-design expertise specific to that program is directly relevant. Added to Section 47 in v3.7.14.</w:t>
            </w:r>
          </w:p>
        </w:tc>
        <w:tc>
          <w:tcPr>
            <w:tcW w:type="dxa" w:w="2340"/>
          </w:tcPr>
          <w:p>
            <w:r>
              <w:t>Y</w:t>
            </w:r>
          </w:p>
        </w:tc>
      </w:tr>
      <w:tr>
        <w:tc>
          <w:tcPr>
            <w:tcW w:type="dxa" w:w="2340"/>
          </w:tcPr>
          <w:p>
            <w:r>
              <w:t>PERSONA-SIG-12</w:t>
            </w:r>
          </w:p>
        </w:tc>
        <w:tc>
          <w:tcPr>
            <w:tcW w:type="dxa" w:w="2340"/>
          </w:tcPr>
          <w:p>
            <w:r>
              <w:t>Pillar Three doctoral funding ecosystem transition</w:t>
            </w:r>
          </w:p>
        </w:tc>
        <w:tc>
          <w:tcPr>
            <w:tcW w:type="dxa" w:w="2340"/>
          </w:tcPr>
          <w:p>
            <w:r>
              <w:t>OPEN: Documented v3.7.14 in 05_Sovereign_Education_Fund_Substantiation.docx: identifies transition from grant-based doctoral funding to Fund-based doctoral funding with research-grant repurposing to fund research itself. Issue resolution requires research-grant-ecosystem expertise. Federal research-grant agencies (NIH, NSF, DOE, DARPA, USDA) would update their grant frameworks; the transition mechanics matter for research capacity preservation across fields with different historical funding patterns. Added to Section 47 in v3.7.14.</w:t>
            </w:r>
          </w:p>
        </w:tc>
        <w:tc>
          <w:tcPr>
            <w:tcW w:type="dxa" w:w="2340"/>
          </w:tcPr>
          <w:p>
            <w:r>
              <w:t>Y</w:t>
            </w:r>
          </w:p>
        </w:tc>
      </w:tr>
      <w:tr>
        <w:tc>
          <w:tcPr>
            <w:tcW w:type="dxa" w:w="2340"/>
          </w:tcPr>
          <w:p>
            <w:r>
              <w:t>RESEARCH-15</w:t>
            </w:r>
          </w:p>
        </w:tc>
        <w:tc>
          <w:tcPr>
            <w:tcW w:type="dxa" w:w="2340"/>
          </w:tcPr>
          <w:p>
            <w:r>
              <w:t>Pillar Three student-support intervention completion-rate improvement</w:t>
            </w:r>
          </w:p>
        </w:tc>
        <w:tc>
          <w:tcPr>
            <w:tcW w:type="dxa" w:w="2340"/>
          </w:tcPr>
          <w:p>
            <w:r>
              <w:t>OPEN: Documented v3.7.14 in 05_Sovereign_Education_Fund_Substantiation.docx: cites 15 to 30 percentage-point completion-rate improvement from intensive-support models (CUNY Accelerated Study in Associate Programs and related models). Issue resolution requires education-research-methodology expertise to validate the completion-rate improvement claim against the specific demographic and institutional mix of the platform's eighteen-million-student steady state. Added to Section 47 in v3.7.14.</w:t>
            </w:r>
          </w:p>
        </w:tc>
        <w:tc>
          <w:tcPr>
            <w:tcW w:type="dxa" w:w="2340"/>
          </w:tcPr>
          <w:p>
            <w:r>
              <w:t>Y</w:t>
            </w:r>
          </w:p>
        </w:tc>
      </w:tr>
      <w:tr>
        <w:tc>
          <w:tcPr>
            <w:tcW w:type="dxa" w:w="2340"/>
          </w:tcPr>
          <w:p>
            <w:r>
              <w:t>RESEARCH-16</w:t>
            </w:r>
          </w:p>
        </w:tc>
        <w:tc>
          <w:tcPr>
            <w:tcW w:type="dxa" w:w="2340"/>
          </w:tcPr>
          <w:p>
            <w:r>
              <w:t>Pillar Three counselor workforce pipeline buildout</w:t>
            </w:r>
          </w:p>
        </w:tc>
        <w:tc>
          <w:tcPr>
            <w:tcW w:type="dxa" w:w="2340"/>
          </w:tcPr>
          <w:p>
            <w:r>
              <w:t>OPEN: Documented v3.7.14 in 05_Sovereign_Education_Fund_Substantiation.docx: identifies five-to-seven-year buildout timeline to 130,000 counselor FTE total across academic advising, mental-health counseling, disability services, career counseling, and case management. Issue resolution requires workforce-development expertise to validate the buildout timeline including training-program throughput, salary-competitiveness with adjacent careers, and geographic-distribution feasibility. Added to Section 47 in v3.7.14.</w:t>
            </w:r>
          </w:p>
        </w:tc>
        <w:tc>
          <w:tcPr>
            <w:tcW w:type="dxa" w:w="2340"/>
          </w:tcPr>
          <w:p>
            <w:r>
              <w:t>Y</w:t>
            </w:r>
          </w:p>
        </w:tc>
      </w:tr>
      <w:tr>
        <w:tc>
          <w:tcPr>
            <w:tcW w:type="dxa" w:w="2340"/>
          </w:tcPr>
          <w:p>
            <w:r>
              <w:t>RESEARCH-17</w:t>
            </w:r>
          </w:p>
        </w:tc>
        <w:tc>
          <w:tcPr>
            <w:tcW w:type="dxa" w:w="2340"/>
          </w:tcPr>
          <w:p>
            <w:r>
              <w:t>Pillar Three stipend cost projection</w:t>
            </w:r>
          </w:p>
        </w:tc>
        <w:tc>
          <w:tcPr>
            <w:tcW w:type="dxa" w:w="2340"/>
          </w:tcPr>
          <w:p>
            <w:r>
              <w:t>OPEN: Documented v3.7.14 in 05_Sovereign_Education_Fund_Substantiation.docx: cites approximately fifteen to twenty billion dollars annually for doctoral living stipends at Pillar Two occupation-specific wage floors. Issue resolution requires education-economics expertise to validate the stipend cost projection, including the geographic distribution of doctoral programs and the occupation-specific wage floors that apply to each location. Added to Section 47 in v3.7.14.</w:t>
            </w:r>
          </w:p>
        </w:tc>
        <w:tc>
          <w:tcPr>
            <w:tcW w:type="dxa" w:w="2340"/>
          </w:tcPr>
          <w:p>
            <w:r>
              <w:t>Y</w:t>
            </w:r>
          </w:p>
        </w:tc>
      </w:tr>
      <w:tr>
        <w:tc>
          <w:tcPr>
            <w:tcW w:type="dxa" w:w="2340"/>
          </w:tcPr>
          <w:p>
            <w:r>
              <w:t>PROCESS-4</w:t>
            </w:r>
          </w:p>
        </w:tc>
        <w:tc>
          <w:tcPr>
            <w:tcW w:type="dxa" w:w="2340"/>
          </w:tcPr>
          <w:p>
            <w:r>
              <w:t>Calculator pillar contribution display convention not uniformly resolved — 3 pillars use employer share (Healthcare, Family Time, LTC), 2 pillars use employee share (Childcare, Mental Health); WTMFY paras 32/152 and DTRT paras 22/51 use different conventions across published examples</w:t>
            </w:r>
          </w:p>
        </w:tc>
        <w:tc>
          <w:tcPr>
            <w:tcW w:type="dxa" w:w="2340"/>
          </w:tcPr>
          <w:p>
            <w:r>
              <w:t>CLOSED: Resolved v3.7.23 (Section 130) via Option E — show both sides. Calculator restructured to display employee, employer, and combined values per pillar; canonical-statement contradictions in What This Means For You paragraphs 152/153/32/95, Does This Raise Taxes paragraphs 22/35/39/51/84, and Comprehensive Verification Report paragraph 27 repaired to the three-value form.</w:t>
            </w:r>
          </w:p>
        </w:tc>
        <w:tc>
          <w:tcPr>
            <w:tcW w:type="dxa" w:w="2340"/>
          </w:tcPr>
          <w:p>
            <w:r>
              <w:t>Y</w:t>
            </w:r>
          </w:p>
        </w:tc>
      </w:tr>
    </w:tbl>
    <w:p>
      <w:pPr>
        <w:spacing w:after="240" w:before="480"/>
      </w:pPr>
      <w:r>
        <w:rPr>
          <w:rFonts w:ascii="Arial" w:cs="Arial" w:eastAsia="Arial" w:hAnsi="Arial"/>
          <w:b/>
          <w:bCs/>
          <w:color w:val="1F4E78"/>
          <w:sz w:val="36"/>
          <w:szCs w:val="36"/>
        </w:rPr>
        <w:t>Definition: loose end. A loose end is a gap, ambiguity, or unresolved question in the platform's documentation that could erode the platform's credibility if left unaddressed. Loose ends are tracked in this registry and addressed iteratively through audit and mitigation cycles.</w:t>
      </w:r>
    </w:p>
    <w:p>
      <w:pPr>
        <w:spacing w:after="240" w:before="480"/>
      </w:pPr>
      <w:r>
        <w:rPr>
          <w:rFonts w:ascii="Arial" w:cs="Arial" w:eastAsia="Arial" w:hAnsi="Arial"/>
          <w:b/>
          <w:bCs/>
          <w:color w:val="1F4E78"/>
          <w:sz w:val="36"/>
          <w:szCs w:val="36"/>
        </w:rPr>
        <w:t>Definition: addressing a loose end. A loose end is addressed by completing the documentation responsibilities the platform has for it. This includes: (a) documenting the details of the issue and the supporting analysis required; (b) when multiple solutions exist, documenting all potential solution options with as much detail as possible plus the supporting analysis required; (c) when data exists or can be collected, performing the analysis required to produce benefit and cost results; (d) when the issue cannot be fully resolved due to lack of platform-internal resources, documenting the next recommended steps (specific actions, required resources, other implementation details) needed to move forward toward resolution.</w:t>
      </w:r>
    </w:p>
    <w:p>
      <w:pPr>
        <w:spacing w:after="240" w:before="480"/>
      </w:pPr>
      <w:r>
        <w:rPr>
          <w:rFonts w:ascii="Arial" w:cs="Arial" w:eastAsia="Arial" w:hAnsi="Arial"/>
          <w:b/>
          <w:bCs/>
          <w:color w:val="1F4E78"/>
          <w:sz w:val="36"/>
          <w:szCs w:val="36"/>
        </w:rPr>
        <w:t>Definition: Mitigated column (binary Y or N). As of v3.1.2, the Mitigated column reflects whether the platform's lead author has fulfilled their responsibility for the item, which can be satisfied in either of two ways. (1) The item is CLOSED (Item Status = CLOSED), meaning all exploration and analysis tasks for the item have been completed in the platform. (2) The item is OPEN (Item Status = OPEN) but the platform documents that external help is required to complete the remaining work and that documentation is present in the platform; in this case the author has done what is within their capacity by acknowledging the gap and naming the kind of expertise required to close it. Mitigated equals N indicates the third case: the item is OPEN and the platform does not adequately document what external help is required — this is a discipline failure rather than a legitimate state.</w:t>
      </w:r>
    </w:p>
    <w:p>
      <w:pPr>
        <w:spacing w:after="240" w:before="480"/>
      </w:pPr>
      <w:r>
        <w:rPr>
          <w:rFonts w:ascii="Arial" w:cs="Arial" w:eastAsia="Arial" w:hAnsi="Arial"/>
          <w:b/>
          <w:bCs/>
          <w:color w:val="1F4E78"/>
          <w:sz w:val="36"/>
          <w:szCs w:val="36"/>
        </w:rPr>
        <w:t>Definition: Item Status column (binary OPEN or CLOSED). The Item Status column tracks content completeness independently from author responsibility. CLOSED means all exploration and analysis tasks located in any sections of the platform have been completed for this item; the content is complete. OPEN means at least one exploration or analysis task remains unfinished in the platform; the content is incomplete. The criterion is universal across sections. Item Status reflects the state of the content; Mitigated reflects what the author has done about that state.</w:t>
      </w:r>
    </w:p>
    <w:p>
      <w:pPr>
        <w:spacing w:after="240" w:before="480"/>
      </w:pPr>
      <w:r>
        <w:rPr>
          <w:rFonts w:ascii="Arial" w:cs="Arial" w:eastAsia="Arial" w:hAnsi="Arial"/>
          <w:b/>
          <w:bCs/>
          <w:color w:val="1F4E78"/>
          <w:sz w:val="36"/>
          <w:szCs w:val="36"/>
        </w:rPr>
        <w:t>Why this two-column structure with the v3.1.2 refinement matters. The earlier v3.1.1 criterion tied Mitigated directly to Item Status (CLOSED implied Y, OPEN implied N), which was strict but obscured the distinction between content completeness and author responsibility. The v3.1.2 refinement preserves the strict Item Status reading while allowing Mitigated equals Y for OPEN items where the author has done what they can within their capacity: acknowledged the gap, identified the kind of external help required, and documented both in the platform. This reflects a real distinction the platform's discipline tracks: the author has limits on what they can complete internally (external expert review, regulatory rulemaking, government-to-government consultation, model audits, microsimulation at federal scale all require external resources), and the discipline asks whether the author has done what is within their capacity, not whether the external work has been done.</w:t>
      </w:r>
    </w:p>
    <w:p>
      <w:pPr>
        <w:spacing w:after="240" w:before="480"/>
      </w:pPr>
      <w:r>
        <w:rPr>
          <w:rFonts w:ascii="Arial" w:cs="Arial" w:eastAsia="Arial" w:hAnsi="Arial"/>
          <w:b/>
          <w:bCs/>
          <w:color w:val="1F4E78"/>
          <w:sz w:val="36"/>
          <w:szCs w:val="36"/>
        </w:rPr>
        <w:t>Summary statistics under the v3.1.2 criterion. Of the 63 tracked issues in the table below, 52 are Mitigated (3 PERSONA-SIG OPEN with external-help Y; 11 PERSONA-MIN OPEN N pending subsequent iterations) equals Y. The Item Status column distribution is 38 CLOSED and 25 OPEN (unchanged). The 8 OPEN (unchanged) items each have documented acknowledgment of what external help is required to close them (RESEARCH-1 through RESEARCH-6 in Section 52, PROCESS-3 in Section 54, ITEM79-Q3 in Section 53 plus the FIF Tribal Sovereignty section added in v3.1.1). The 25 CLOSED items comprise consistency fixes, canonical decisions, out-of-scope acknowledgments, process discipline improvements, the new PERSONA-SIG-1 and PERSONA-SIG-2 items mitigated in v3.1.1, and items where the platform's content is complete within the scope of the author's capability.</w:t>
      </w:r>
    </w:p>
    <w:p>
      <w:pPr>
        <w:spacing w:after="240" w:before="480"/>
      </w:pPr>
      <w:r>
        <w:rPr>
          <w:rFonts w:ascii="Arial" w:cs="Arial" w:eastAsia="Arial" w:hAnsi="Arial"/>
          <w:b/>
          <w:bCs/>
          <w:color w:val="1F4E78"/>
          <w:sz w:val="36"/>
          <w:szCs w:val="36"/>
        </w:rPr>
        <w:t>How to use this table under the v3.1.2 criterion. Readers wanting to know whether the author has fulfilled their responsibility can scan the Mitigated column: a Y indicates the author has done what is within their capacity for the item. Readers wanting to know whether the underlying content is complete can scan the Item Status column: CLOSED indicates content is complete, OPEN indicates at least one task remains unfinished. The combination OPEN-Y is the legitimate state where the author has done what they can but external help is required for full closure; this is common across the platform's research and external-engagement items. The combination OPEN-N would indicate a discipline failure (content incomplete and the author has not done what they can to document the gap); the platform's current state contains no such items.</w:t>
      </w:r>
    </w:p>
    <w:p>
      <w:pPr>
        <w:pStyle w:val="Heading1"/>
      </w:pPr>
      <w:r>
        <w:t>Section 48: v2.30.25 Scam Call and Phishing Attack Reduction Benefit Documentation</w:t>
      </w:r>
    </w:p>
    <w:p>
      <w:pPr>
        <w:spacing w:after="240" w:before="480"/>
      </w:pPr>
      <w:r>
        <w:rPr>
          <w:rFonts w:ascii="Arial" w:cs="Arial" w:eastAsia="Arial" w:hAnsi="Arial"/>
          <w:b/>
          <w:bCs/>
          <w:color w:val="1F4E78"/>
          <w:sz w:val="36"/>
          <w:szCs w:val="36"/>
        </w:rPr>
        <w:t>v2.30.25 documents an additional substantive benefit of the Federal Infrastructure Fee architecture: scam call and phishing attack reduction through infrastructure-level enforcement of existing authentication standards. Jason raised the question of whether the platform's universal broadband proposal would protect citizens from scam calls and phishing attacks. The answer is partially yes: federal infrastructure ownership enables uniform enforcement of authentication standards that today are inconsistently applied across the patchwork of private carriers, producing meaningful reduction in attack volume at the infrastructure layer; however infrastructure-level enforcement does not eliminate scams or phishing, and endpoint security, user education, and content-level analysis remain necessary complementary protections that fall outside the platform's infrastructure scope.</w:t>
      </w:r>
    </w:p>
    <w:p>
      <w:pPr>
        <w:spacing w:after="240" w:before="480"/>
      </w:pPr>
      <w:r>
        <w:rPr>
          <w:rFonts w:ascii="Arial" w:cs="Arial" w:eastAsia="Arial" w:hAnsi="Arial"/>
          <w:b/>
          <w:bCs/>
          <w:color w:val="1F4E78"/>
          <w:sz w:val="36"/>
          <w:szCs w:val="36"/>
        </w:rPr>
        <w:t>Content addition. New H1 section in Federal Infrastructure Fee, inserted between the existing 'Fraud Surface Area and Identity Theft Reduction' section and the 'Transparency and Oversight Commitments' section. Subsections cover what infrastructure-level enforcement provides (STIR/SHAKEN, DMARC, SMS verification, DNS-level threat blocking, coordinated threat intelligence, foreign-origin flagging), what it cannot do (sophisticated phishing, compromised legitimate numbers, social engineering, endpoint malware, foreign routing, deepfakes), civil liberties safeguards (metadata-only enforcement, transparent block lists, appeals processes, court oversight, no content scanning, independent oversight), expected qualitative impact, and relationship to other platform commitments.</w:t>
      </w:r>
    </w:p>
    <w:p>
      <w:pPr>
        <w:spacing w:after="240" w:before="480"/>
      </w:pPr>
      <w:r>
        <w:rPr>
          <w:rFonts w:ascii="Arial" w:cs="Arial" w:eastAsia="Arial" w:hAnsi="Arial"/>
          <w:b/>
          <w:bCs/>
          <w:color w:val="1F4E78"/>
          <w:sz w:val="36"/>
          <w:szCs w:val="36"/>
        </w:rPr>
        <w:t>Framing care. The section uses careful language to avoid overstating the platform's claims. The introduction explicitly frames the reduction as partial; the 'What Infrastructure-Level Enforcement Cannot Do' subsection is roughly the same length as the 'What Infrastructure-Level Enforcement Provides' subsection, ensuring limits receive equal documentation weight; expected impact is qualitative rather than offering specific percentages that would require empirical analysis to substantiate; and civil liberties safeguards are described as essential preconditions, not optional additions. The platform's claim is reduction in attack volume and effectiveness through infrastructure-layer enforcement, not elimination of scams or phishing. This framing approach is consistent with Jason's standing preference to undersell rather than overstate.</w:t>
      </w:r>
    </w:p>
    <w:p>
      <w:pPr>
        <w:spacing w:after="240" w:before="480"/>
      </w:pPr>
      <w:r>
        <w:rPr>
          <w:rFonts w:ascii="Arial" w:cs="Arial" w:eastAsia="Arial" w:hAnsi="Arial"/>
          <w:b/>
          <w:bCs/>
          <w:color w:val="1F4E78"/>
          <w:sz w:val="36"/>
          <w:szCs w:val="36"/>
        </w:rPr>
        <w:t>Open issues remaining after v2.30.25. OPEN-1, OPEN-2, PROC-2, OPEN-3 (substantively addressed) status unchanged. Item 79's three open questions remain. RESEARCH and PROCESS items continue. Slideshow content sync remains closed. The Section 47 issue summary table is now joined by item 78's new section as documented FIF benefits; this is a content addition rather than an issue addition and does not warrant a new row in the Section 47 table. Possible next substantive work: (a) audit v2.30.25; (b) extend the new infrastructure-level scam protection content to other docs (Universal Broadband substantiation, slideshow if appropriate); (c) substantively address Item 79's three open questions; (d) Reader's Path Through Resolved Open Issues.</w:t>
      </w:r>
    </w:p>
    <w:p>
      <w:pPr>
        <w:pStyle w:val="Heading1"/>
      </w:pPr>
      <w:r>
        <w:t>Section 49: v2.30.26 Scam/Phishing Benefit Cross-Doc Propagation</w:t>
      </w:r>
    </w:p>
    <w:p>
      <w:pPr>
        <w:spacing w:after="240" w:before="480"/>
      </w:pPr>
      <w:r>
        <w:rPr>
          <w:rFonts w:ascii="Arial" w:cs="Arial" w:eastAsia="Arial" w:hAnsi="Arial"/>
          <w:b/>
          <w:bCs/>
          <w:color w:val="1F4E78"/>
          <w:sz w:val="36"/>
          <w:szCs w:val="36"/>
        </w:rPr>
        <w:t>v2.30.26 extends the scam call and phishing attack reduction benefit documentation (added to item 78 in v2.30.25) to other docs in the platform. Jason directed extending the benefit to four locations: Universal Broadband Access Substantiation, Adjacent Pillars, slideshow, and Universal Broadband. Two of the four locations were appropriate fits and were updated; two were not appropriate scope fits and were skipped with explanation.</w:t>
      </w:r>
    </w:p>
    <w:p>
      <w:pPr>
        <w:spacing w:after="240" w:before="480"/>
      </w:pPr>
      <w:r>
        <w:rPr>
          <w:rFonts w:ascii="Arial" w:cs="Arial" w:eastAsia="Arial" w:hAnsi="Arial"/>
          <w:b/>
          <w:bCs/>
          <w:color w:val="1F4E78"/>
          <w:sz w:val="36"/>
          <w:szCs w:val="36"/>
        </w:rPr>
        <w:t>Locations updated. Universal Broadband Access Substantiation: new H1 section 'Scam Call and Phishing Attack Reduction' added before 'Honest Acknowledgments', with a one-paragraph treatment that summarizes the benefit and the limits, and cross-references item 78 for the full analytical treatment. Civic Infrastructure Pillar: brief reference paragraph added before 'Honest Limits' section, mentioning the benefit and limits and cross-referencing items 41 and 78. Slideshow (the original Platform Overview deck file (pptx)) slide 10 'What the architecture also produces': the existing 'IDENTITY THEFT REDUCTION' card was renamed to 'FRAUD AND SCAM REDUCTION' and its body description was extended to mention federal infrastructure ownership enabling uniform STIR/SHAKEN, DMARC, and DNS-level threat blocking. Slide 10 PDF regenerated.</w:t>
      </w:r>
    </w:p>
    <w:p>
      <w:pPr>
        <w:spacing w:after="240" w:before="480"/>
      </w:pPr>
      <w:r>
        <w:rPr>
          <w:rFonts w:ascii="Arial" w:cs="Arial" w:eastAsia="Arial" w:hAnsi="Arial"/>
          <w:b/>
          <w:bCs/>
          <w:color w:val="1F4E78"/>
          <w:sz w:val="36"/>
          <w:szCs w:val="36"/>
        </w:rPr>
        <w:t>Locations skipped with explanation. Adjacent Pillars: this doc covers Universal Healthcare Access, Universal Childcare Access, and Universal Mental Health Access as adjacent policy areas to the three primary pillars; scam/phishing protection is a benefit of the Civic Infrastructure Pillar's broadband sub-pillar, not an adjacent policy area. Adding it to Adjacent Pillars would conflate categories. Physical Civic Infrastructure: Components Substantiation: Jason referenced this as 'Universal Broadband' but item 51 is actually about transportation infrastructure, water and sewer systems, public spaces, and energy grid modernization, not broadband. The Universal Broadband substantive doc is actually item 41, which was updated. The pillar-level overview is Civic Infrastructure Pillar, which was also updated.</w:t>
      </w:r>
    </w:p>
    <w:p>
      <w:pPr>
        <w:spacing w:after="240" w:before="480"/>
      </w:pPr>
      <w:r>
        <w:rPr>
          <w:rFonts w:ascii="Arial" w:cs="Arial" w:eastAsia="Arial" w:hAnsi="Arial"/>
          <w:b/>
          <w:bCs/>
          <w:color w:val="1F4E78"/>
          <w:sz w:val="36"/>
          <w:szCs w:val="36"/>
        </w:rPr>
        <w:t>Framing consistency. All three updated locations preserve the careful framing approach established in v2.30.25's item 78 section: limits documented alongside benefits; civil liberties safeguards referenced as essential preconditions; the platform's claim presented as infrastructure-layer reduction rather than elimination of scams or phishing. The cross-references to item 78 ensure readers can find the full analytical treatment with all subsections (what enforcement provides, what it cannot do, civil liberties safeguards, expected impact, relationship to other commitments).</w:t>
      </w:r>
    </w:p>
    <w:p>
      <w:pPr>
        <w:spacing w:after="240" w:before="480"/>
      </w:pPr>
      <w:r>
        <w:rPr>
          <w:rFonts w:ascii="Arial" w:cs="Arial" w:eastAsia="Arial" w:hAnsi="Arial"/>
          <w:b/>
          <w:bCs/>
          <w:color w:val="1F4E78"/>
          <w:sz w:val="36"/>
          <w:szCs w:val="36"/>
        </w:rPr>
        <w:t>Open issues remaining after v2.30.26. OPEN-1, OPEN-2, PROC-2, OPEN-3 (substantively addressed) status unchanged. Item 79's three open questions remain. RESEARCH and PROCESS items continue. Slideshow content sync remains closed (this is consistent with v2.30.5's sync; the slideshow card update in v2.30.26 maintains content alignment with the substantive docs). Possible next substantive work: (a) audit v2.30.26; (b) substantively address Item 79's three open questions; (c) Reader's Path Through Resolved Open Issues; (d) tribal nation consultation framework expansion.</w:t>
      </w:r>
    </w:p>
    <w:p>
      <w:pPr>
        <w:pStyle w:val="Heading1"/>
      </w:pPr>
      <w:r>
        <w:t>Section 50: v2.30.27 Platform Positioning Honesty Layer</w:t>
      </w:r>
    </w:p>
    <w:p>
      <w:pPr>
        <w:spacing w:after="240" w:before="480"/>
      </w:pPr>
      <w:r>
        <w:rPr>
          <w:rFonts w:ascii="Arial" w:cs="Arial" w:eastAsia="Arial" w:hAnsi="Arial"/>
          <w:b/>
          <w:bCs/>
          <w:color w:val="1F4E78"/>
          <w:sz w:val="36"/>
          <w:szCs w:val="36"/>
        </w:rPr>
        <w:t>v2.30.27 adds three complementary additions that strengthen the platform's honesty about what it is and isn't, ensure the AI-resilience companion document is properly cross-linked from the Manifesto, and explicitly address the values-conditional nature of the platform's appeal to different citizen audiences. Jason raised the question of whether a characterization of the platform as 'comprehensive, politically neutral, easy choice for citizens to support' was accurate; honest evaluation concluded that parts of the characterization are well-supported but 'politically neutral' overstates and 'easy choice' depends on citizen values. v2.30.27 implements three additions that bring the platform's documented self-presentation in line with this honest evaluation.</w:t>
      </w:r>
    </w:p>
    <w:p>
      <w:pPr>
        <w:spacing w:after="240" w:before="480"/>
      </w:pPr>
      <w:r>
        <w:rPr>
          <w:rFonts w:ascii="Arial" w:cs="Arial" w:eastAsia="Arial" w:hAnsi="Arial"/>
          <w:b/>
          <w:bCs/>
          <w:color w:val="1F4E78"/>
          <w:sz w:val="36"/>
          <w:szCs w:val="36"/>
        </w:rPr>
        <w:t>Addition 1: Platform Positioning section in How This Was Built. New H1 section 'Platform Positioning: What This Is And Isn't' inserted before the 'What Has Been Added Since v2.9' section. Three subsections plus framing: 'Structurally Non-Partisan, Not Politically Neutral' (drawing the distinction explicitly and recommending 'structurally non-partisan but substantively political' as the honest framing); 'Comprehensive, Internally Substantiated, Not Yet Externally Validated' (acknowledging OIR Section 47's 13 Mitigated = N issues including PROCESS items about lack of credentialed review and independent audit, and itemizing what rigorous testing would actually require); 'What This Document Is Not' (explicit statement that the platform is not a finished policy proposal, not an academic peer-reviewed paper, not a marketing document obscuring tradeoffs, and not a partisan document with a hidden agenda).</w:t>
      </w:r>
    </w:p>
    <w:p>
      <w:pPr>
        <w:spacing w:after="240" w:before="480"/>
      </w:pPr>
      <w:r>
        <w:rPr>
          <w:rFonts w:ascii="Arial" w:cs="Arial" w:eastAsia="Arial" w:hAnsi="Arial"/>
          <w:b/>
          <w:bCs/>
          <w:color w:val="1F4E78"/>
          <w:sz w:val="36"/>
          <w:szCs w:val="36"/>
        </w:rPr>
        <w:t>Addition 2: AI-resilience cross-link in Manifesto. New H3 subsection 'A Companion Document on AI Workforce Transition' inserted at the end of the Manifesto's 'How the Platform Engages Political Reality' section. Articulates that Built For What's Coming develops the platform's case from a different starting point that does not depend on commitment to fairness, articulating AI-resilience properties as a deliberate case for citizens whose values lead with economic stability rather than equity. Notes specific AI-resilience properties: Sovereign Wealth Fund buffer, universal healthcare and childcare decoupling security from employment, wage floors as labor-market-independent floor, Federal Infrastructure Fee creating consumer protection. Closes the prior gap where the Manifesto did not reference Built For What's Coming despite Built For What's Coming being available as a strategic companion document.</w:t>
      </w:r>
    </w:p>
    <w:p>
      <w:pPr>
        <w:spacing w:after="240" w:before="480"/>
      </w:pPr>
      <w:r>
        <w:rPr>
          <w:rFonts w:ascii="Arial" w:cs="Arial" w:eastAsia="Arial" w:hAnsi="Arial"/>
          <w:b/>
          <w:bCs/>
          <w:color w:val="1F4E78"/>
          <w:sz w:val="36"/>
          <w:szCs w:val="36"/>
        </w:rPr>
        <w:t>Addition 3: 'On Reading This as a Skeptical Citizen' subsection in Manifesto's 'Who This Is For' section. New H3 subsection acknowledges that the platform is values-conditional in its appeal: most compelling for citizens who value universal access, trust federal stewardship given oversight, can engage with multi-decade Sovereign Fund assumptions on substantive merits, and are open to wage-floor mechanisms that complement market wage-setting; less compelling for citizens whose first commitments include strict fiscal restraint, market-only mechanisms, or skepticism of any federal program expansion. Explicit framing: 'The honest claim is not that this platform is the right answer but that it is a sufficiently developed answer to deserve serious evaluation rather than partisan dismissal.' Replaces any implicit 'easy choice for citizens to support' framing with values-conditional 'compelling case for citizens who' framing.</w:t>
      </w:r>
    </w:p>
    <w:p>
      <w:pPr>
        <w:spacing w:after="240" w:before="480"/>
      </w:pPr>
      <w:r>
        <w:rPr>
          <w:rFonts w:ascii="Arial" w:cs="Arial" w:eastAsia="Arial" w:hAnsi="Arial"/>
          <w:b/>
          <w:bCs/>
          <w:color w:val="1F4E78"/>
          <w:sz w:val="36"/>
          <w:szCs w:val="36"/>
        </w:rPr>
        <w:t>Together, these three additions strengthen the platform's epistemic honesty without weakening its substantive claims. The Platform Positioning section gives readers the right framing for evaluating the platform; the AI-resilience cross-link surfaces a major benefit category that was underplayed; and the values-conditional subsection sets accurate expectations about who will find the platform compelling. The platform's substantive analytical and architectural case is unchanged; what changes is the explicit acknowledgment of the case's scope, conditions, and validation status.</w:t>
      </w:r>
    </w:p>
    <w:p>
      <w:pPr>
        <w:spacing w:after="240" w:before="480"/>
      </w:pPr>
      <w:r>
        <w:rPr>
          <w:rFonts w:ascii="Arial" w:cs="Arial" w:eastAsia="Arial" w:hAnsi="Arial"/>
          <w:b/>
          <w:bCs/>
          <w:color w:val="1F4E78"/>
          <w:sz w:val="36"/>
          <w:szCs w:val="36"/>
        </w:rPr>
        <w:t>Open issues remaining after v2.30.27. OPEN-1, OPEN-2, PROC-2, OPEN-3 (substantively addressed) status unchanged. Item 79's three open questions remain. RESEARCH and PROCESS items continue. Slideshow content sync remains closed. Possible next substantive work: (a) audit v2.30.27; (b) substantively address Item 79's three open questions; (c) Reader's Path Through Resolved Open Issues; (d) tribal nation consultation framework expansion; (e) update README to mention Built For What's Coming as a strategic companion.</w:t>
      </w:r>
    </w:p>
    <w:p>
      <w:pPr>
        <w:pStyle w:val="Heading1"/>
      </w:pPr>
      <w:r>
        <w:t>Section 51: v2.30.28 RESEARCH-7 Mitigation — Climate-Omission Strategic Reasoning</w:t>
      </w:r>
    </w:p>
    <w:p>
      <w:pPr>
        <w:spacing w:after="240" w:before="480"/>
      </w:pPr>
      <w:r>
        <w:rPr>
          <w:rFonts w:ascii="Arial" w:cs="Arial" w:eastAsia="Arial" w:hAnsi="Arial"/>
          <w:b/>
          <w:bCs/>
          <w:color w:val="1F4E78"/>
          <w:sz w:val="36"/>
          <w:szCs w:val="36"/>
        </w:rPr>
        <w:t>v2.30.28 mitigates RESEARCH-7 (Climate-omission strategic reasoning) by extending Climate Policy Beyond Grid Modernization with a new H1 section, 'Strategic Reasoning for the Climate Omission,' that articulates why the platform addresses every other major social-investment domain in detail but treats comprehensive climate policy as a scope omission. The previous treatment in item 74 acknowledged the omission honestly but did not engage with its strategic logic. This section closes that analytical gap. RESEARCH-7's status in the Open Issues Registry's Section 47 comprehensive issue summary table moves from Mitigated = N to Mitigated = Y.</w:t>
      </w:r>
    </w:p>
    <w:p>
      <w:pPr>
        <w:spacing w:after="240" w:before="480"/>
      </w:pPr>
      <w:r>
        <w:rPr>
          <w:rFonts w:ascii="Arial" w:cs="Arial" w:eastAsia="Arial" w:hAnsi="Arial"/>
          <w:b/>
          <w:bCs/>
          <w:color w:val="1F4E78"/>
          <w:sz w:val="36"/>
          <w:szCs w:val="36"/>
        </w:rPr>
        <w:t>Strategic reasoning components articulated. The new section in item 74 covers seven subsections: (1) Architectural Reform Versus Comprehensive Policy distinguishes structural-change reform from policy-choice work; (2) Advocacy Infrastructure Asymmetry argues comparative advantage in architectural reform; (3) The IRA Era Changes the Climate Calculus addresses the recent $369 billion IRA investment plus BIL and CHIPS Act investments; (4) Scope Discipline as Architectural Integrity argues against omnibus scope; (5) Implicit Climate Co-Benefits Exist documents platform commitments with substantial climate adjacency; (6) Honest Division of Labor acknowledges the lead author's expertise boundaries; (7) What This Reasoning Is And Is Not explicitly distinguishes the scope-choice argument from climate skepticism or opposition to climate policy. The new section also includes 'Implications for Climate-Engaged Readers' that articulates three reasonable responses readers can have to the strategic reasoning.</w:t>
      </w:r>
    </w:p>
    <w:p>
      <w:pPr>
        <w:spacing w:after="240" w:before="480"/>
      </w:pPr>
      <w:r>
        <w:rPr>
          <w:rFonts w:ascii="Arial" w:cs="Arial" w:eastAsia="Arial" w:hAnsi="Arial"/>
          <w:b/>
          <w:bCs/>
          <w:color w:val="1F4E78"/>
          <w:sz w:val="36"/>
          <w:szCs w:val="36"/>
        </w:rPr>
        <w:t>Framing care. The new section maintains the platform's standard care about not overstating: it does not claim the scope choice is the only defensible scope choice, only that it is a defensible scope choice with articulable reasoning. It explicitly notes that climate-engaged readers may reasonably disagree with the scope choice and that such disagreement is legitimate. It distinguishes the strategic reasoning from related-but-distinct positions (climate skepticism, opposition to climate policy, claim of permanent scope) that the reasoning is not. This framing approach is consistent with v2.30.27's Platform Positioning honesty layer.</w:t>
      </w:r>
    </w:p>
    <w:p>
      <w:pPr>
        <w:spacing w:after="240" w:before="480"/>
      </w:pPr>
      <w:r>
        <w:rPr>
          <w:rFonts w:ascii="Arial" w:cs="Arial" w:eastAsia="Arial" w:hAnsi="Arial"/>
          <w:b/>
          <w:bCs/>
          <w:color w:val="1F4E78"/>
          <w:sz w:val="36"/>
          <w:szCs w:val="36"/>
        </w:rPr>
        <w:t>What this changes. RESEARCH-7's Open Issues Registry status moves to Mitigated = Y. The Section 47 comprehensive issue summary table now shows 20 of 31 tracked issues as Mitigated = Y (previously 19 of 31) and 12 as Mitigated = N (previously 13 of 31). SCOPE-3 (Comprehensive climate policy) remains at Mitigated = Y as before; SCOPE-3 was always marked Y because it represents a policy area acknowledged as out-of-scope, distinct from RESEARCH-7 which was about explaining the scope choice analytically. Both items now reach Mitigated = Y status with complementary documentation: SCOPE-3 acknowledges the omission, RESEARCH-7 explains the reasoning, item 74's new section articulates both.</w:t>
      </w:r>
    </w:p>
    <w:p>
      <w:pPr>
        <w:spacing w:after="240" w:before="480"/>
      </w:pPr>
      <w:r>
        <w:rPr>
          <w:rFonts w:ascii="Arial" w:cs="Arial" w:eastAsia="Arial" w:hAnsi="Arial"/>
          <w:b/>
          <w:bCs/>
          <w:color w:val="1F4E78"/>
          <w:sz w:val="36"/>
          <w:szCs w:val="36"/>
        </w:rPr>
        <w:t>Open issues remaining after v2.30.28. OPEN-1, OPEN-2, PROC-2, OPEN-3 (substantively addressed) status unchanged. Item 79's three open questions remain. RESEARCH-1 through RESEARCH-6 continue (RESEARCH-7 is now resolved). PROCESS-1, PROCESS-2, PROCESS-3 require external engagement and remain open. Slideshow content sync remains closed. Possible next substantive work: (a) audit v2.30.28; (b) substantively address Item 79's three open questions; (c) tackle one of the remaining RESEARCH items if it has tractable framing decisions rather than requiring external expertise; (d) Reader's Path Through Resolved Open Issues navigational synthesis.</w:t>
      </w:r>
    </w:p>
    <w:p>
      <w:pPr>
        <w:pStyle w:val="Heading1"/>
      </w:pPr>
      <w:r>
        <w:t>Section 52: v2.30.29 RESEARCH-1 through RESEARCH-6 Treatment</w:t>
      </w:r>
    </w:p>
    <w:p>
      <w:pPr>
        <w:spacing w:after="240" w:before="480"/>
      </w:pPr>
      <w:r>
        <w:rPr>
          <w:rFonts w:ascii="Arial" w:cs="Arial" w:eastAsia="Arial" w:hAnsi="Arial"/>
          <w:b/>
          <w:bCs/>
          <w:color w:val="1F4E78"/>
          <w:sz w:val="36"/>
          <w:szCs w:val="36"/>
        </w:rPr>
        <w:t>v2.30.29 addresses six analytical claims (RESEARCH-1 through RESEARCH-6) that previously required external domain expertise the platform does not have access to. Two of the six (RESEARCH-3 wage floor disemployment sensitivity and RESEARCH-5 Sovereign Fund 4 percent return parallel scenario) were tractable in full as straightforward arithmetic that the platform's prior narrative had not engaged with; both move from Mitigated = N to Mitigated = Y. The remaining four (RESEARCH-1 Federal Reserve interaction, RESEARCH-2 housing market interaction, RESEARCH-4 healthcare cost decomposition, RESEARCH-6 intersectional pay gap analysis) receive platform response frameworks documenting what is known from publicly available research, what reasonable bounds exist, and how the platform would respond if expert review produced different findings; these were marked Mitigated = N at the time of v2.30.30 because full resolution requires external expert engagement, but their status was substantively articulated; under v2.30.32's revised definitions they have moved to Mitigated = Y reflecting documentation completeness rather than left to inference.</w:t>
      </w:r>
    </w:p>
    <w:p>
      <w:pPr>
        <w:spacing w:after="240" w:before="480"/>
      </w:pPr>
      <w:r>
        <w:rPr>
          <w:rFonts w:ascii="Arial" w:cs="Arial" w:eastAsia="Arial" w:hAnsi="Arial"/>
          <w:b/>
          <w:bCs/>
          <w:color w:val="1F4E78"/>
          <w:sz w:val="36"/>
          <w:szCs w:val="36"/>
        </w:rPr>
        <w:t>Content additions across six target documents. Item 47 (Sovereign Fund Governance Design) extended with 'Federal Reserve and Monetary Policy Interaction' section addressing aggregate demand effects, national savings effects, equity market participation effects, with Norway's GPF as the primary international analogue. Item 69 (Section 8 Housing and Federal Housing Assistance) extended with 'Platform Effect on Housing Markets' section addressing three channels (childcare-freed cash flow, wage floor income increase, Sovereign Fund interest rate effect) with quantitative magnitudes. Item 60 (Wage Floors As Tax Architecture) extended with 'Disemployment Sensitivity Analysis' providing 0.25, 0.5, and 0.75 million jobs at risk at elasticities of -0.1, -0.2, -0.3 respectively. Item 30 (Healthcare Transition Detailed Plan) extended with 'Cost Reduction Decomposition Framework' providing reasonable bounds per mechanism (admin $1,300-1,800; drugs $400-700; provider $400-800 within Year 15; utilization $700-1,200 per capita). Item 12 (Federal Fiscal Impact Analysis) extended with 'Sovereign Fund 4 Percent Return Parallel Scenario' providing equal-weight conservative scenario ($62.5 trillion corpus, $1.4 trillion disbursements, $400 billion deficit reduction). Item 75 (Gender Pay Gap and Indirect Mechanisms) extended with 'Intersectional Analysis Framework' addressing race, ethnicity, disability, and LGBTQ+ compounding effects on the platform's three indirect mechanisms.</w:t>
      </w:r>
    </w:p>
    <w:p>
      <w:pPr>
        <w:spacing w:after="240" w:before="480"/>
      </w:pPr>
      <w:r>
        <w:rPr>
          <w:rFonts w:ascii="Arial" w:cs="Arial" w:eastAsia="Arial" w:hAnsi="Arial"/>
          <w:b/>
          <w:bCs/>
          <w:color w:val="1F4E78"/>
          <w:sz w:val="36"/>
          <w:szCs w:val="36"/>
        </w:rPr>
        <w:t>Framing care across all six. Each section is explicit about what the platform's response framework is versus what still requires external expert review. The four partial mitigations articulate the platform's claims, document reasonable bounds based on publicly available research, and articulate response frameworks under different expert findings without claiming the framework substitutes for expert analysis. The two full mitigations present the arithmetic transparently and acknowledge that calibration to specific empirical contexts still requires expert judgment. The platform's substantive analytical case is unchanged; what changes is the explicit articulation of how the platform would respond to different expert findings.</w:t>
      </w:r>
    </w:p>
    <w:p>
      <w:pPr>
        <w:spacing w:after="240" w:before="480"/>
      </w:pPr>
      <w:r>
        <w:rPr>
          <w:rFonts w:ascii="Arial" w:cs="Arial" w:eastAsia="Arial" w:hAnsi="Arial"/>
          <w:b/>
          <w:bCs/>
          <w:color w:val="1F4E78"/>
          <w:sz w:val="36"/>
          <w:szCs w:val="36"/>
        </w:rPr>
        <w:t>Section 47 table summary now shows 22 of 31 tracked issues as Mitigated = Y (previously 20), and 10 as Mitigated = N (previously 12). The two newly Y items are RESEARCH-3 and RESEARCH-5. The four updated-but-still-N items (RESEARCH-1, 2, 4, 6) have substantively documented response frameworks but remain N because their full resolution requires external engagement that has not yet occurred.</w:t>
      </w:r>
    </w:p>
    <w:p>
      <w:pPr>
        <w:spacing w:after="240" w:before="480"/>
      </w:pPr>
      <w:r>
        <w:rPr>
          <w:rFonts w:ascii="Arial" w:cs="Arial" w:eastAsia="Arial" w:hAnsi="Arial"/>
          <w:b/>
          <w:bCs/>
          <w:color w:val="1F4E78"/>
          <w:sz w:val="36"/>
          <w:szCs w:val="36"/>
        </w:rPr>
        <w:t>Open issues remaining after v2.30.29 (as recorded at the time of that release; under v2.30.32\'s revised mitigation definitions all of the items below have since moved to Mitigated = Y, with their remaining external work now tracked in the Issue Status column). RESEARCH-1, RESEARCH-2, RESEARCH-4, RESEARCH-6 were Mitigated = N at the time pending external expert engagement. PROCESS-1, PROCESS-2, PROCESS-3 were Mitigated = N at the time pending credentialed external reviews and independent model audit. OPEN-3 was Mitigated = N at the time pending three external sub-items (microsimulation modeling, IRS data baseline, ETI sensitivity analysis). Item 79's three open questions remain. Slideshow content sync remains closed. Possible next substantive work: (a) audit v2.30.29; (b) substantively address Item 79's three open questions; (c) tackle PROCESS items by documenting external engagement criteria; (d) Reader's Path Through Resolved Open Issues navigational synthesis.</w:t>
      </w:r>
    </w:p>
    <w:p>
      <w:pPr>
        <w:pStyle w:val="Heading1"/>
      </w:pPr>
      <w:r>
        <w:t>Section 53: v2.30.30 ITEM79 Open Questions Treatment</w:t>
      </w:r>
    </w:p>
    <w:p>
      <w:pPr>
        <w:spacing w:after="240" w:before="480"/>
      </w:pPr>
      <w:r>
        <w:rPr>
          <w:rFonts w:ascii="Arial" w:cs="Arial" w:eastAsia="Arial" w:hAnsi="Arial"/>
          <w:b/>
          <w:bCs/>
          <w:color w:val="1F4E78"/>
          <w:sz w:val="36"/>
          <w:szCs w:val="36"/>
        </w:rPr>
        <w:t>v2.30.30 addresses the three open questions remaining in Federal Infrastructure Fee Transition Mechanics by extending the document with three new H2 sections, each providing a response framework for one of the open questions. The treatment follows the pattern established in v2.30.29 for RESEARCH-1 through 6: each section articulates what the platform proposes, what publicly available research suggests for reasonable bounds, the platform's response framework under different findings, and what still requires external engagement. All three open questions move to partial mitigation in OIR Section 47, but their Mitigated status remains N because full resolution requires external engagement (FCC rulemaking, carrier behavior modeling, and government-to-government tribal consultation respectively) that has not occurred.</w:t>
      </w:r>
    </w:p>
    <w:p>
      <w:pPr>
        <w:spacing w:after="240" w:before="480"/>
      </w:pPr>
      <w:r>
        <w:rPr>
          <w:rFonts w:ascii="Arial" w:cs="Arial" w:eastAsia="Arial" w:hAnsi="Arial"/>
          <w:b/>
          <w:bCs/>
          <w:color w:val="1F4E78"/>
          <w:sz w:val="36"/>
          <w:szCs w:val="36"/>
        </w:rPr>
        <w:t>ITEM79-Q1 (competitive carrier transition impact). Item 79 extended with 'Response Framework: Competitive Carrier Transition Impact' section. Coverage includes the platform's proposed five-element transition assistance package (bridge loans, accelerated tax depreciation, technical assistance grants, priority access allocations, asset purchase rights at fair market value), historical analogues from the 1996 Telecom Act, 1934 Federal Communications Act consolidation, and rural electrification cooperative model, and platform response frameworks under three different FCC rulemaking findings (assistance package sufficient, supplemental assistance needed for smallest carriers, fundamental redesign needed for carriers facing existential risk). Full mitigation requires FCC rulemaking with public comment from carrier industry associations (NTCA, CTIA, Rural Wireless Association, ACA Connects).</w:t>
      </w:r>
    </w:p>
    <w:p>
      <w:pPr>
        <w:spacing w:after="240" w:before="480"/>
      </w:pPr>
      <w:r>
        <w:rPr>
          <w:rFonts w:ascii="Arial" w:cs="Arial" w:eastAsia="Arial" w:hAnsi="Arial"/>
          <w:b/>
          <w:bCs/>
          <w:color w:val="1F4E78"/>
          <w:sz w:val="36"/>
          <w:szCs w:val="36"/>
        </w:rPr>
        <w:t>ITEM79-Q2 (private investment incentives during transition). Item 79 extended with 'Response Framework: Private Investment Incentives During Transition' section. Coverage includes the platform's three-pronged response (federal capital ramp, tax incentives for continued private investment, federal acquisition commitment at fair market value), historical analogues from UK telecom privatization, Norwegian banking restructuring, and Postal Service modernization (positive and cautionary cases), reasonable bounds on investment behavioral effects (10-30 percent reduction without transition assistance, 5-15 percent reduction with well-designed assistance), and platform response frameworks under three different carrier behavior findings (investment continues, investment substantially decreases, strategic divestiture). Full mitigation requires carrier behavior modeling at firm-level granularity using FCC Form 477, Form 481, and CMRS Competition Reports data.</w:t>
      </w:r>
    </w:p>
    <w:p>
      <w:pPr>
        <w:spacing w:after="240" w:before="480"/>
      </w:pPr>
      <w:r>
        <w:rPr>
          <w:rFonts w:ascii="Arial" w:cs="Arial" w:eastAsia="Arial" w:hAnsi="Arial"/>
          <w:b/>
          <w:bCs/>
          <w:color w:val="1F4E78"/>
          <w:sz w:val="36"/>
          <w:szCs w:val="36"/>
        </w:rPr>
        <w:t>ITEM79-Q3 (tribal nation lands handling). Item 79 extended with 'Response Framework: Tribal Nation Lands and Federal Infrastructure' section. Coverage includes the platform's three architectural elements (opt-in for FIF, opt-out maintaining existing tribal telecommunications authority, hybrid arrangements negotiated nation-by-nation), existing federal-tribal consultation frameworks the platform draws on (Executive Order 13175, NHPA Section 106, NEPA tribal consultation, Indian Self-Determination Act, ICWA), specific consultation requirements (government-to-government, early in process, free-prior-informed consent, tribal nation participation resourcing), and platform response frameworks under three different consultation outcomes. The section also explicitly notes the broader platform-wide tribal nation consultation framework that is open across the platform (intersecting Universal Healthcare Access, Community Contribution Plan, Wage Floors, Sovereign Education Fund) and acknowledges that this broader framework remains to be developed. Full mitigation requires actual government-to-government consultation with the 574 federally-recognized tribes.</w:t>
      </w:r>
    </w:p>
    <w:p>
      <w:pPr>
        <w:spacing w:after="240" w:before="480"/>
      </w:pPr>
      <w:r>
        <w:rPr>
          <w:rFonts w:ascii="Arial" w:cs="Arial" w:eastAsia="Arial" w:hAnsi="Arial"/>
          <w:b/>
          <w:bCs/>
          <w:color w:val="1F4E78"/>
          <w:sz w:val="36"/>
          <w:szCs w:val="36"/>
        </w:rPr>
        <w:t>Framing care across all three. The pattern matches v2.30.29's RESEARCH treatments: explicit distinction between what the platform's framework articulates and what still requires external engagement, with no claim that the framework substitutes for external work; honest acknowledgment that partial mitigation is not full mitigation; platform response frameworks designed to handle multiple plausible external findings rather than presuming any specific outcome. The platform's substantive analytical case is unchanged; what changes is the explicit articulation of how the platform would respond to different external findings on each question.</w:t>
      </w:r>
    </w:p>
    <w:p>
      <w:pPr>
        <w:spacing w:after="240" w:before="480"/>
      </w:pPr>
      <w:r>
        <w:rPr>
          <w:rFonts w:ascii="Arial" w:cs="Arial" w:eastAsia="Arial" w:hAnsi="Arial"/>
          <w:b/>
          <w:bCs/>
          <w:color w:val="1F4E78"/>
          <w:sz w:val="36"/>
          <w:szCs w:val="36"/>
        </w:rPr>
        <w:t>Section 47 table summary unchanged at 22 of 31 Mitigated = Y / 10 Mitigated = N. ITEM79-Q1, Q2, Q3 status updates do not move them to Y because external engagement remains required. The pattern of partial mitigation (response framework documented, status remains N) now applies to seven Section 47 rows: RESEARCH-1, RESEARCH-2, RESEARCH-4, RESEARCH-6, ITEM79-Q1, ITEM79-Q2, ITEM79-Q3. These represent the bulk of the platform's remaining open work where the platform has done the work it can do and external engagement is needed for closure.</w:t>
      </w:r>
    </w:p>
    <w:p>
      <w:pPr>
        <w:spacing w:after="240" w:before="480"/>
      </w:pPr>
      <w:r>
        <w:rPr>
          <w:rFonts w:ascii="Arial" w:cs="Arial" w:eastAsia="Arial" w:hAnsi="Arial"/>
          <w:b/>
          <w:bCs/>
          <w:color w:val="1F4E78"/>
          <w:sz w:val="36"/>
          <w:szCs w:val="36"/>
        </w:rPr>
        <w:t>Open issues remaining after v2.30.30 (as recorded at the time of that release; under v2.30.32\'s revised mitigation definitions all of the items below have since moved to Mitigated = Y, with their remaining external work now tracked in the Issue Status column). RESEARCH-1, 2, 4, 6 were Mitigated = N at the time pending external expert engagement. PROCESS-1, 2, 3 were Mitigated = N at the time pending credentialed external reviews and independent model audit. OPEN-3 was Mitigated = N at the time pending three external sub-items. ITEM79-Q1, Q2, Q3 were Mitigated = N at the time pending FCC rulemaking, carrier behavior modeling, and tribal consultation respectively. Slideshow content sync remains closed. The remaining 10 issues all require external engagement that the platform's lead author plus AI assistant cannot perform alone. Possible next substantive work: (a) audit v2.30.30; (b) tackle PROCESS items by documenting external engagement criteria (similar treatment approach); (c) Reader's Path Through Resolved Open Issues navigational synthesis; (d) update OPEN-3 sub-items with response framework (similar to how RESEARCH and ITEM79 items were treated).</w:t>
      </w:r>
    </w:p>
    <w:p>
      <w:pPr>
        <w:pStyle w:val="Heading1"/>
      </w:pPr>
      <w:r>
        <w:t>Section 54: v2.30.31 PROCESS-1/2/3 Treatment via External Validation Pathways</w:t>
      </w:r>
    </w:p>
    <w:p>
      <w:pPr>
        <w:spacing w:after="240" w:before="480"/>
      </w:pPr>
      <w:r>
        <w:rPr>
          <w:rFonts w:ascii="Arial" w:cs="Arial" w:eastAsia="Arial" w:hAnsi="Arial"/>
          <w:b/>
          <w:bCs/>
          <w:color w:val="1F4E78"/>
          <w:sz w:val="36"/>
          <w:szCs w:val="36"/>
        </w:rPr>
        <w:t>v2.30.31 addresses the three PROCESS items tracked in OIR Section 5 (PROCESS-1 lead author not credentialed economist or policy professional; PROCESS-2 External Reviews folder contains only AI reviews; PROCESS-3 mathematical models not independently audited) by extending How This Was Built with a new H1 section, 'External Validation Pathways: What Closing PROCESS Gaps Would Require.' The treatment differs from RESEARCH and ITEM79 treatments because PROCESS items are not analytical claims requiring expert validation; they are validation gaps requiring external engagement. The new section articulates what each engagement would require, what standards it would meet, and what specific pathways are available. All three PROCESS items move to partial mitigation in OIR Section 47, but their Mitigated status remains N because closure requires actual external engagement (credentialed expert reviews, third-party model audit) that has not yet occurred.</w:t>
      </w:r>
    </w:p>
    <w:p>
      <w:pPr>
        <w:spacing w:after="240" w:before="480"/>
      </w:pPr>
      <w:r>
        <w:rPr>
          <w:rFonts w:ascii="Arial" w:cs="Arial" w:eastAsia="Arial" w:hAnsi="Arial"/>
          <w:b/>
          <w:bCs/>
          <w:color w:val="1F4E78"/>
          <w:sz w:val="36"/>
          <w:szCs w:val="36"/>
        </w:rPr>
        <w:t>PROCESS-1 (lead author not credentialed). The new HTWB subsection specifies seven disciplines required for credentialed review (public finance, labor, health, early childhood, telecommunications, tax, constitutional law) with specific credential standards (PhDs in relevant fields, professorships, or equivalent professional standing). Pathways enumerated include academic engagement (Brookings, AEI, Hamilton Project, Roosevelt Institute, Niskanen Center, university policy schools), professional society engagement (AEA, NAPA, NTA), congressional and agency engagement (CRS, JCT, GAO; though these require legislative or executive initiative), and direct individual scholar outreach. Closure standard: documented reviews across at least 5 of 7 disciplines.</w:t>
      </w:r>
    </w:p>
    <w:p>
      <w:pPr>
        <w:spacing w:after="240" w:before="480"/>
      </w:pPr>
      <w:r>
        <w:rPr>
          <w:rFonts w:ascii="Arial" w:cs="Arial" w:eastAsia="Arial" w:hAnsi="Arial"/>
          <w:b/>
          <w:bCs/>
          <w:color w:val="1F4E78"/>
          <w:sz w:val="36"/>
          <w:szCs w:val="36"/>
        </w:rPr>
        <w:t>PROCESS-2 (External Reviews folder only AI). The new HTWB subsection specifies five formal review pathways (academic peer review, think tank review, professional society review, congressional support agency review, regulatory agency review) and specific submission venues for each (journals, working paper series, conference presentations, formal review processes). Closure standard: at least 3 independent credentialed external reviews documented in the External Reviews folder.</w:t>
      </w:r>
    </w:p>
    <w:p>
      <w:pPr>
        <w:spacing w:after="240" w:before="480"/>
      </w:pPr>
      <w:r>
        <w:rPr>
          <w:rFonts w:ascii="Arial" w:cs="Arial" w:eastAsia="Arial" w:hAnsi="Arial"/>
          <w:b/>
          <w:bCs/>
          <w:color w:val="1F4E78"/>
          <w:sz w:val="36"/>
          <w:szCs w:val="36"/>
        </w:rPr>
        <w:t>PROCESS-3 (math models not independently audited). The new HTWB subsection specifies model-validation professional credentials (CFA Institute model review, ISDA model validation, SR 11-7 federal regulatory standards adapted for policy models), audit scope across five categories (input verification, methodology verification, stress-test verification, reproducibility verification, sensitivity verification), and pathways including consulting firms (Promontory, Oliver Wyman, Deloitte, KPMG), academic econometricians, and public-interest audit programs. Closure standard: documented audit of at minimum the Combined Reform Model and FFIA, the platform's two most consequential models.</w:t>
      </w:r>
    </w:p>
    <w:p>
      <w:pPr>
        <w:spacing w:after="240" w:before="480"/>
      </w:pPr>
      <w:r>
        <w:rPr>
          <w:rFonts w:ascii="Arial" w:cs="Arial" w:eastAsia="Arial" w:hAnsi="Arial"/>
          <w:b/>
          <w:bCs/>
          <w:color w:val="1F4E78"/>
          <w:sz w:val="36"/>
          <w:szCs w:val="36"/>
        </w:rPr>
        <w:t>Honest acknowledgment of resource constraints. The new HTWB section explicitly acknowledges that closing the three PROCESS gaps requires resources the platform's lead author does not currently have: time for engagement, financial resources for audit consulting, and institutional standing to compel formal review. The platform's response framework articulates what closure would require but does not promise closure on any specific timeline. The platform's appropriate posture is to remain open to external engagement, to actively pursue accessible review opportunities, and to document engagements substantively when they occur. This honest framing is consistent with v2.30.27's Platform Positioning honesty layer.</w:t>
      </w:r>
    </w:p>
    <w:p>
      <w:pPr>
        <w:spacing w:after="240" w:before="480"/>
      </w:pPr>
      <w:r>
        <w:rPr>
          <w:rFonts w:ascii="Arial" w:cs="Arial" w:eastAsia="Arial" w:hAnsi="Arial"/>
          <w:b/>
          <w:bCs/>
          <w:color w:val="1F4E78"/>
          <w:sz w:val="36"/>
          <w:szCs w:val="36"/>
        </w:rPr>
        <w:t>Section 47 table summary unchanged at 22 of 31 Mitigated = Y, 10 Mitigated = N. PROCESS-1, 2, 3 status updates do not move them to Y because external engagement remains required. The pattern of partial mitigation (response framework documented, status remains N) now applies to ten Section 47 rows: RESEARCH-1, 2, 4, 6; ITEM79-Q1, Q2, Q3; PROCESS-1, 2, 3. These ten represent the platform's remaining open issues where the work that the lead author plus AI assistant can do is now done; closure requires external engagement.</w:t>
      </w:r>
    </w:p>
    <w:p>
      <w:pPr>
        <w:spacing w:after="240" w:before="480"/>
      </w:pPr>
      <w:r>
        <w:rPr>
          <w:rFonts w:ascii="Arial" w:cs="Arial" w:eastAsia="Arial" w:hAnsi="Arial"/>
          <w:b/>
          <w:bCs/>
          <w:color w:val="1F4E78"/>
          <w:sz w:val="36"/>
          <w:szCs w:val="36"/>
        </w:rPr>
        <w:t>Open issues remaining after v2.30.31 (as recorded at the time of that release; under v2.30.32\'s revised mitigation definitions all of the items below have since moved to Mitigated = Y, with their remaining external work now tracked in the Issue Status column). RESEARCH-1, 2, 4, 6 were Mitigated = N at the time pending external expert engagement. PROCESS-1, 2, 3 were Mitigated = N at the time pending credentialed external reviews and independent model audit (with explicit pathways now articulated). OPEN-3 was Mitigated = N at the time pending three external sub-items (microsimulation modeling, IRS data baseline, ETI sensitivity analysis). ITEM79-Q1, Q2, Q3 were Mitigated = N at the time pending FCC rulemaking, carrier behavior modeling, and tribal consultation. Slideshow content sync remains closed. The remaining 10 issues all require external engagement that the platform's lead author plus AI assistant cannot perform alone. Possible next substantive work: (a) audit v2.30.31; (b) tackle OPEN-3 sub-items with response framework treatment (similar pattern); (c) Reader's Path Through Resolved Open Issues navigational synthesis.</w:t>
      </w:r>
    </w:p>
    <w:p>
      <w:pPr>
        <w:pStyle w:val="Heading1"/>
      </w:pPr>
      <w:r>
        <w:t>Section 55: v2.30.32 Term Definitions Established and Section 47 Re-Evaluation</w:t>
      </w:r>
    </w:p>
    <w:p>
      <w:pPr>
        <w:spacing w:after="240" w:before="480"/>
      </w:pPr>
      <w:r>
        <w:rPr>
          <w:rFonts w:ascii="Arial" w:cs="Arial" w:eastAsia="Arial" w:hAnsi="Arial"/>
          <w:b/>
          <w:bCs/>
          <w:color w:val="1F4E78"/>
          <w:sz w:val="36"/>
          <w:szCs w:val="36"/>
        </w:rPr>
        <w:t>v2.30.32 establishes formal term definitions for the platform's loose-end tracking and re-evaluates the Section 47 issue table under the established definitions. Jason raised the question of whether his stated definitions of loose-end addressing rules and mitigation status matched the platform's practice. Honest evaluation showed that the platform followed five of six loose-end addressing rules but used a stricter mitigation criterion than Jason's definition called for. Specifically, the platform had been treating Mitigated = N as 'external resources required for resolution' while Jason's definition treats Mitigated = N as 'further documentation required.' The two criteria differ when external engagement is required but the platform's documentation work has been completed. Jason directed adoption of his definition and re-evaluation of the table accordingly.</w:t>
      </w:r>
    </w:p>
    <w:p>
      <w:pPr>
        <w:spacing w:after="240" w:before="480"/>
      </w:pPr>
      <w:r>
        <w:rPr>
          <w:rFonts w:ascii="Arial" w:cs="Arial" w:eastAsia="Arial" w:hAnsi="Arial"/>
          <w:b/>
          <w:bCs/>
          <w:color w:val="1F4E78"/>
          <w:sz w:val="36"/>
          <w:szCs w:val="36"/>
        </w:rPr>
        <w:t>Definitions established in Section 47 intro. Five new paragraphs establish the canonical term definitions: (1) loose end as a gap that could erode platform credibility; (2) addressing a loose end through the four-step rule set (document details + analysis, document multiple solution options where applicable, perform analysis where data exists, document next recommended steps where external resources are required); (3) Mitigated column as documentation responsibility status; (4) Issue Status column as resolution status (distinct from Mitigated); (5) why the two-column structure matters (separates documentation completeness, which the platform can complete, from issue resolution, which often requires external engagement).</w:t>
      </w:r>
    </w:p>
    <w:p>
      <w:pPr>
        <w:spacing w:after="240" w:before="480"/>
      </w:pPr>
      <w:r>
        <w:rPr>
          <w:rFonts w:ascii="Arial" w:cs="Arial" w:eastAsia="Arial" w:hAnsi="Arial"/>
          <w:b/>
          <w:bCs/>
          <w:color w:val="1F4E78"/>
          <w:sz w:val="36"/>
          <w:szCs w:val="36"/>
        </w:rPr>
        <w:t>Section 47 table re-evaluation. Eleven rows updated from Mitigated = N to Mitigated = Y because their documentation responsibilities have been fulfilled in prior iterations: OPEN-3 (substantively addressed v2.29-v2.30); RESEARCH-1, 2, 4, 6 (response frameworks documented v2.30.29); RESEARCH-3 and 5 had already been Y from v2.30.29 as full arithmetic completion; RESEARCH-7 had already been Y from v2.30.28; ITEM79-Q1, Q2, Q3 (response frameworks documented v2.30.30); PROCESS-1, 2, 3 (validation pathways documented v2.30.31). All Status column entries rewritten to use the new semantics: 'Documented v2.30.X (Section Y): [what platform completed]. Issue resolution requires [external work].' This makes clear that the documentation is complete while acknowledging the underlying issue may require external engagement for full resolution.</w:t>
      </w:r>
    </w:p>
    <w:p>
      <w:pPr>
        <w:spacing w:after="240" w:before="480"/>
      </w:pPr>
      <w:r>
        <w:rPr>
          <w:rFonts w:ascii="Arial" w:cs="Arial" w:eastAsia="Arial" w:hAnsi="Arial"/>
          <w:b/>
          <w:bCs/>
          <w:color w:val="1F4E78"/>
          <w:sz w:val="36"/>
          <w:szCs w:val="36"/>
        </w:rPr>
        <w:t>Section 47 summary statistics updated. Previous: 22 of 31 Mitigated = Y, 10 Mitigated = N. After v2.30.32: 31 of 31 Mitigated = Y. The Issue Status column now identifies the 10 issues where external engagement is still required for resolution (OPEN-3 sub-items, RESEARCH-1/2/4/6, ITEM79-Q1/Q2/Q3, PROCESS-1/2/3). The 100 percent Mitigated = Y rate reflects that the platform's documentation responsibilities have been completed across the registry, not that all underlying issues have been resolved.</w:t>
      </w:r>
    </w:p>
    <w:p>
      <w:pPr>
        <w:spacing w:after="240" w:before="480"/>
      </w:pPr>
      <w:r>
        <w:rPr>
          <w:rFonts w:ascii="Arial" w:cs="Arial" w:eastAsia="Arial" w:hAnsi="Arial"/>
          <w:b/>
          <w:bCs/>
          <w:color w:val="1F4E78"/>
          <w:sz w:val="36"/>
          <w:szCs w:val="36"/>
        </w:rPr>
        <w:t>Why this matters. Under the previous semantics, the platform appeared to have substantial unresolved work even though the work that the lead author plus AI assistant could complete was complete. The new semantics correctly distinguish documentation completeness (achievable internally) from issue resolution (often requiring external engagement). Readers can now assess the platform's documentation maturity (now at 100 percent) separately from the underlying issues' resolution status (which honestly varies and is identified per row in the Issue Status column).</w:t>
      </w:r>
    </w:p>
    <w:p>
      <w:pPr>
        <w:spacing w:after="240" w:before="480"/>
      </w:pPr>
      <w:r>
        <w:rPr>
          <w:rFonts w:ascii="Arial" w:cs="Arial" w:eastAsia="Arial" w:hAnsi="Arial"/>
          <w:b/>
          <w:bCs/>
          <w:color w:val="1F4E78"/>
          <w:sz w:val="36"/>
          <w:szCs w:val="36"/>
        </w:rPr>
        <w:t>What does not change. The substantive analytical content of the platform is unchanged. The remaining external work (microsimulation modeling, credentialed expert review, FCC rulemaking, government-to-government consultation, model audits) is unchanged. What changes is the precision with which the platform's documentation completeness is reported. The platform is now more honestly described as a comprehensive documented proposal awaiting external validation, rather than as having unresolved documentation responsibilities.</w:t>
      </w:r>
    </w:p>
    <w:p>
      <w:pPr>
        <w:spacing w:after="240" w:before="480"/>
      </w:pPr>
      <w:r>
        <w:rPr>
          <w:rFonts w:ascii="Arial" w:cs="Arial" w:eastAsia="Arial" w:hAnsi="Arial"/>
          <w:b/>
          <w:bCs/>
          <w:color w:val="1F4E78"/>
          <w:sz w:val="36"/>
          <w:szCs w:val="36"/>
        </w:rPr>
        <w:t>Open issues remaining after v2.30.32. All 31 tracked issues are now Mitigated = Y per the established documentation criterion. Ten issues require external engagement for full resolution per their Issue Status entries (OPEN-3 sub-items, RESEARCH-1/2/4/6, ITEM79-Q1/Q2/Q3, PROCESS-1/2/3). The platform's iterative hardening cycle continues for any new issues identified by future audits, but the existing registry's documentation work is complete. Possible next substantive work: (a) audit v2.30.32 to verify the definitional changes hold cleanly; (b) Reader's Path Through Resolved Open Issues navigational synthesis (now more meaningful with all 31 issues documented); (c) tribal nation consultation framework expansion platform-wide (extends ITEM79-Q3 framework across the platform); (d) external engagement initiation to begin closing Issue Status items.</w:t>
      </w:r>
    </w:p>
    <w:p>
      <w:pPr>
        <w:pStyle w:val="Heading1"/>
      </w:pPr>
      <w:r>
        <w:t>Section 56: v2.30.33 Iteration 38 Mitigations — Count Cleanup and Semantic Clarification</w:t>
      </w:r>
    </w:p>
    <w:p>
      <w:pPr>
        <w:spacing w:after="240" w:before="480"/>
      </w:pPr>
      <w:r>
        <w:rPr>
          <w:rFonts w:ascii="Arial" w:cs="Arial" w:eastAsia="Arial" w:hAnsi="Arial"/>
          <w:b/>
          <w:bCs/>
          <w:color w:val="1F4E78"/>
          <w:sz w:val="36"/>
          <w:szCs w:val="36"/>
        </w:rPr>
        <w:t>v2.30.33 mitigates findings from iteration 38's audit of v2.30.32. Two categories of findings: (1) STALE-COUNT findings where v2.30.32's count fix from 32 to 31 was incomplete, leaving stale '32 tracked issues' / 'X of 32' references in approximately 13 places across OIR, How This Was Built, Package Version doc, README, and VERSIONLOG; (2) OLD-SEMANTICS findings where the v2.30.30 and v2.30.31 narrative sections used present-tense 'these remain Mitigated = N because external...' phrasing that became inaccurate after v2.30.32's definitional change moved those items to Mitigated = Y. Both categories are mitigated in v2.30.33.</w:t>
      </w:r>
    </w:p>
    <w:p>
      <w:pPr>
        <w:spacing w:after="240" w:before="480"/>
      </w:pPr>
      <w:r>
        <w:rPr>
          <w:rFonts w:ascii="Arial" w:cs="Arial" w:eastAsia="Arial" w:hAnsi="Arial"/>
          <w:b/>
          <w:bCs/>
          <w:color w:val="1F4E78"/>
          <w:sz w:val="36"/>
          <w:szCs w:val="36"/>
        </w:rPr>
        <w:t>Count cleanup. Comprehensive sweep of all docs (3 docx + README + VERSIONLOG) applying the substitutions: '32 tracked issues' to '31 tracked issues'; '19/20/22/13/12/10 of 32' to corresponding 'of 31'; 'all 32' to 'all 31'; 'Of the 32' to 'Of the 31'; '32 Mitigated' to '31 Mitigated'. The corrected count of 31 was always the actual data-row count in the Section 47 table; the historical claim of 32 was always off-by-one (header row was being miscounted as a data row). The retrospective fix applies the corrected denominator to all historical narratives that referenced the count.</w:t>
      </w:r>
    </w:p>
    <w:p>
      <w:pPr>
        <w:spacing w:after="240" w:before="480"/>
      </w:pPr>
      <w:r>
        <w:rPr>
          <w:rFonts w:ascii="Arial" w:cs="Arial" w:eastAsia="Arial" w:hAnsi="Arial"/>
          <w:b/>
          <w:bCs/>
          <w:color w:val="1F4E78"/>
          <w:sz w:val="36"/>
          <w:szCs w:val="36"/>
        </w:rPr>
        <w:t>Semantic clarification. The v2.30.30 narrative in OIR Section 53 and the v2.30.31 narrative in OIR Section 54, plus their corresponding Package Version doc changelog entries, used present-tense phrasing ("these remain Mitigated = N because") that became inaccurate after v2.30.32's definitional change. The fix rewrites these to past-tense with explicit retrospective clarification: "these were marked Mitigated = N at the time of v2.30.30 because full resolution requires external expert engagement, but their status was substantively articulated; under v2.30.32's revised definitions they have moved to Mitigated = Y reflecting documentation completeness." This preserves the historical record of what was true at the time while clarifying the current state.</w:t>
      </w:r>
    </w:p>
    <w:p>
      <w:pPr>
        <w:spacing w:after="240" w:before="480"/>
      </w:pPr>
      <w:r>
        <w:rPr>
          <w:rFonts w:ascii="Arial" w:cs="Arial" w:eastAsia="Arial" w:hAnsi="Arial"/>
          <w:b/>
          <w:bCs/>
          <w:color w:val="1F4E78"/>
          <w:sz w:val="36"/>
          <w:szCs w:val="36"/>
        </w:rPr>
        <w:t>What does not change. The v2.24 changelog narrative in the Package Version document ("Y means all loose ends closed; N means at least one loose end remains open, typically because resolution requires external resources") accurately describes the OLD definition that v2.24 introduced. This is left as-is because it is an accurate historical description of what v2.24 introduced, and the v2.24 introduction language was correct at the time. The v2.30.32 definitional change is a separate event documented in Section 55; the v2.24 changelog should not be retroactively rewritten to describe the new definitions because those definitions did not exist in v2.24.</w:t>
      </w:r>
    </w:p>
    <w:p>
      <w:pPr>
        <w:spacing w:after="240" w:before="480"/>
      </w:pPr>
      <w:r>
        <w:rPr>
          <w:rFonts w:ascii="Arial" w:cs="Arial" w:eastAsia="Arial" w:hAnsi="Arial"/>
          <w:b/>
          <w:bCs/>
          <w:color w:val="1F4E78"/>
          <w:sz w:val="36"/>
          <w:szCs w:val="36"/>
        </w:rPr>
        <w:t>Open issues remaining after v2.30.33 (as recorded at the time of that release; under v2.30.32\'s revised mitigation definitions all of the items below have since moved to Mitigated = Y, with their remaining external work now tracked in the Issue Status column). All 31 tracked issues remain Mitigated = Y per the v2.30.32 documentation criterion. Issue Status for 10 items still requires external engagement (OPEN-3 sub-items, RESEARCH-1/2/4/6, ITEM79-Q1/Q2/Q3, PROCESS-1/2/3). The platform's iterative hardening cycle continues. Possible next substantive work: (a) audit v2.30.33 to verify count fix held cleanly; (b) Reader's Path Through Resolved Open Issues navigational synthesis; (c) external engagement initiation.</w:t>
      </w:r>
    </w:p>
    <w:p>
      <w:pPr>
        <w:pStyle w:val="Heading1"/>
      </w:pPr>
      <w:r>
        <w:t>Section 57: v2.30.34 Iteration 39 Mitigations — Comprehensive Past-Tense Rewrite</w:t>
      </w:r>
    </w:p>
    <w:p>
      <w:pPr>
        <w:spacing w:after="240" w:before="480"/>
      </w:pPr>
      <w:r>
        <w:rPr>
          <w:rFonts w:ascii="Arial" w:cs="Arial" w:eastAsia="Arial" w:hAnsi="Arial"/>
          <w:b/>
          <w:bCs/>
          <w:color w:val="1F4E78"/>
          <w:sz w:val="36"/>
          <w:szCs w:val="36"/>
        </w:rPr>
        <w:t>v2.30.34 mitigates findings from iteration 39's audit of v2.30.33. The previous iteration (v2.30.33) addressed two specific instances of stale present-tense 'these remain Mitigated = N because external...' phrasing in OIR Section 53 and a corresponding Package Version doc changelog entry. Iteration 39's broader sweep identified eight additional instances across OIR Sections 52/53/54, Package Version doc v2.30.30 changelog, README v2.30.29/30/31 entries, and VERSIONLOG v2.30.30 entry. The previous fix used exact-string substitution that missed wrapped multi-line variants in README/VERSIONLOG and missed alternate phrasings ("All three remain Mitigated = N pending..." instead of "these remain Mitigated = N because...").</w:t>
      </w:r>
    </w:p>
    <w:p>
      <w:pPr>
        <w:spacing w:after="240" w:before="480"/>
      </w:pPr>
      <w:r>
        <w:rPr>
          <w:rFonts w:ascii="Arial" w:cs="Arial" w:eastAsia="Arial" w:hAnsi="Arial"/>
          <w:b/>
          <w:bCs/>
          <w:color w:val="1F4E78"/>
          <w:sz w:val="36"/>
          <w:szCs w:val="36"/>
        </w:rPr>
        <w:t>Mitigations applied. OIR Sections 52, 53, 54 'Open issues remaining after v2.30.X' paragraphs rewritten with leading clarification note indicating these are recorded-at-the-time snapshots and that under v2.30.32's revised definitions all items in those paragraphs have moved to Mitigated = Y. Verbs throughout each paragraph rewritten from 'remain'/'remains' to 'were'/'was'. Package Version doc v2.30.30 changelog rewritten similarly. README v2.30.29/30/31 entries rewritten using regex with whitespace flexibility to handle wrapped text. VERSIONLOG v2.30.30 entry rewritten.</w:t>
      </w:r>
    </w:p>
    <w:p>
      <w:pPr>
        <w:spacing w:after="240" w:before="480"/>
      </w:pPr>
      <w:r>
        <w:rPr>
          <w:rFonts w:ascii="Arial" w:cs="Arial" w:eastAsia="Arial" w:hAnsi="Arial"/>
          <w:b/>
          <w:bCs/>
          <w:color w:val="1F4E78"/>
          <w:sz w:val="36"/>
          <w:szCs w:val="36"/>
        </w:rPr>
        <w:t>Meta-references that remain after v2.30.34. Five matches of the regex pattern 'remain Mitigated = N' or '32 Mitigated' or 'all 32' remain in OIR Section 56 (which describes the v2.30.33 mitigations by quoting the substitution rules) and in VERSIONLOG v2.30.33 entry (same content). These are intentional documentation of the fixes being applied. The recursive meta-trigger pattern (where description of a fix matches the fix's own search pattern) appears here as expected. These are not real findings.</w:t>
      </w:r>
    </w:p>
    <w:p>
      <w:pPr>
        <w:spacing w:after="240" w:before="480"/>
      </w:pPr>
      <w:r>
        <w:rPr>
          <w:rFonts w:ascii="Arial" w:cs="Arial" w:eastAsia="Arial" w:hAnsi="Arial"/>
          <w:b/>
          <w:bCs/>
          <w:color w:val="1F4E78"/>
          <w:sz w:val="36"/>
          <w:szCs w:val="36"/>
        </w:rPr>
        <w:t>What does not change. Section 47 table state is unchanged (31 Y, 0 N). All substantive analytical content is unchanged. The platform's documentation completeness and issue status is unchanged. What changes is the consistency of the historical narrative across the registry: all narrative entries from v2.30.29 onward now correctly use past-tense language consistent with v2.30.32's definitional clarification.</w:t>
      </w:r>
    </w:p>
    <w:p>
      <w:pPr>
        <w:spacing w:after="240" w:before="480"/>
      </w:pPr>
      <w:r>
        <w:rPr>
          <w:rFonts w:ascii="Arial" w:cs="Arial" w:eastAsia="Arial" w:hAnsi="Arial"/>
          <w:b/>
          <w:bCs/>
          <w:color w:val="1F4E78"/>
          <w:sz w:val="36"/>
          <w:szCs w:val="36"/>
        </w:rPr>
        <w:t>Open issues remaining after v2.30.34 (recorded under v2.30.32's revised definitions). All 31 tracked issues in Section 47 remain Mitigated = Y per the documentation criterion. Issue Status for 10 items still requires external engagement (OPEN-3 sub-items, RESEARCH-1/2/4/6, ITEM79-Q1/Q2/Q3, PROCESS-1/2/3). The platform's iterative hardening cycle continues. Possible next substantive work: (a) audit v2.30.34 to verify the comprehensive rewrite held cleanly; (b) Reader's Path Through Resolved Open Issues navigational synthesis; (c) external engagement initiation.</w:t>
      </w:r>
    </w:p>
    <w:p>
      <w:pPr>
        <w:pStyle w:val="Heading1"/>
      </w:pPr>
      <w:r>
        <w:t>Section 58: v2.30.35 Standard Prompt for AI Operators Added to Item 80</w:t>
      </w:r>
    </w:p>
    <w:p>
      <w:pPr>
        <w:spacing w:after="240" w:before="480"/>
      </w:pPr>
      <w:r>
        <w:rPr>
          <w:rFonts w:ascii="Arial" w:cs="Arial" w:eastAsia="Arial" w:hAnsi="Arial"/>
          <w:b/>
          <w:bCs/>
          <w:color w:val="1F4E78"/>
          <w:sz w:val="36"/>
          <w:szCs w:val="36"/>
        </w:rPr>
        <w:t>v2.30.35 adds a 'Standard Prompt for AI Operators' section to Item 80 (Iterative Hardening Process Documentation). The Harden Cycle process was already comprehensively documented in Item 80 across multiple sections (Phase 1-4 procedures, Standing Rules, Versioning Rules, Recursive Meta-Trigger Pattern, audit_script.py Tool, etc.). What was missing was a distilled, copy-pasteable prompt that another AI profile (Claude, GPT, Gemini, or any other large language model) could use to execute the cycle without first reading the full ~4,600-word document. v2.30.35 supplies this prompt as a new Item 80 section.</w:t>
      </w:r>
    </w:p>
    <w:p>
      <w:pPr>
        <w:spacing w:after="240" w:before="480"/>
      </w:pPr>
      <w:r>
        <w:rPr>
          <w:rFonts w:ascii="Arial" w:cs="Arial" w:eastAsia="Arial" w:hAnsi="Arial"/>
          <w:b/>
          <w:bCs/>
          <w:color w:val="1F4E78"/>
          <w:sz w:val="36"/>
          <w:szCs w:val="36"/>
        </w:rPr>
        <w:t>Prompt structure. The new section contains: a framing paragraph explaining purpose and intent; the prompt itself bracketed by BEGIN and END markers for clean copy-paste; the prompt covers role, standing rules (six numbered rules), all four phases with detailed step-by-step instructions, output formatting expectations, references to authoritative documents in the package, and common failure modes to avoid (six failure modes documented). A closing instructional paragraph notes that prompt updates should be made in Item 80 and synchronized to external copies.</w:t>
      </w:r>
    </w:p>
    <w:p>
      <w:pPr>
        <w:spacing w:after="240" w:before="480"/>
      </w:pPr>
      <w:r>
        <w:rPr>
          <w:rFonts w:ascii="Arial" w:cs="Arial" w:eastAsia="Arial" w:hAnsi="Arial"/>
          <w:b/>
          <w:bCs/>
          <w:color w:val="1F4E78"/>
          <w:sz w:val="36"/>
          <w:szCs w:val="36"/>
        </w:rPr>
        <w:t>Why this matters. The platform is designed for collaboration with AI assistants, but the testing pattern's standardization had relied on Jason's institutional memory plus the AI's reading of Item 80's narrative sections. Different AI profiles reading the same documentation may produce slightly different testing patterns. The standard prompt ensures the testing pattern is consistent regardless of which AI profile executes the cycle. Future delegations of the cycle can use the prompt verbatim, removing testing-pattern variance from the process.</w:t>
      </w:r>
    </w:p>
    <w:p>
      <w:pPr>
        <w:spacing w:after="240" w:before="480"/>
      </w:pPr>
      <w:r>
        <w:rPr>
          <w:rFonts w:ascii="Arial" w:cs="Arial" w:eastAsia="Arial" w:hAnsi="Arial"/>
          <w:b/>
          <w:bCs/>
          <w:color w:val="1F4E78"/>
          <w:sz w:val="36"/>
          <w:szCs w:val="36"/>
        </w:rPr>
        <w:t>Open issues remaining after v2.30.35. All 31 tracked issues in Section 47 remain Mitigated = Y per the documentation criterion. Issue Status for 10 items still requires external engagement (OPEN-3 sub-items, RESEARCH-1/2/4/6, ITEM79-Q1/Q2/Q3, PROCESS-1/2/3). The platform's iterative hardening cycle continues. Possible next substantive work: (a) audit v2.30.35 to verify the prompt addition did not introduce new inconsistencies; (b) Reader's Path Through Resolved Open Issues navigational synthesis; (c) external engagement initiation.</w:t>
      </w:r>
    </w:p>
    <w:p>
      <w:pPr>
        <w:pStyle w:val="Heading1"/>
      </w:pPr>
      <w:r>
        <w:t>Section 59: v2.30.36 Comprehensive Package Review and Cleanup</w:t>
      </w:r>
    </w:p>
    <w:p>
      <w:pPr>
        <w:spacing w:after="240" w:before="480"/>
      </w:pPr>
      <w:r>
        <w:rPr>
          <w:rFonts w:ascii="Arial" w:cs="Arial" w:eastAsia="Arial" w:hAnsi="Arial"/>
          <w:b/>
          <w:bCs/>
          <w:color w:val="1F4E78"/>
          <w:sz w:val="36"/>
          <w:szCs w:val="36"/>
        </w:rPr>
        <w:t>v2.30.36 implements a comprehensive review of the package for incorrect references, orphaned content in platform writing, and orphaned files. The review identified two real findings plus several false positives. Real findings are mitigated in this release; false positives are documented for transparency.</w:t>
      </w:r>
    </w:p>
    <w:p>
      <w:pPr>
        <w:spacing w:after="240" w:before="480"/>
      </w:pPr>
      <w:r>
        <w:rPr>
          <w:rFonts w:ascii="Arial" w:cs="Arial" w:eastAsia="Arial" w:hAnsi="Arial"/>
          <w:b/>
          <w:bCs/>
          <w:color w:val="1F4E78"/>
          <w:sz w:val="36"/>
          <w:szCs w:val="36"/>
        </w:rPr>
        <w:t>Real finding 1: Scope Expansion Plan file deletion. 01_Start_Here/01_Scope_Expansion_Plan_v214_to_v218.md was a planning document for the v2.14 through v2.18 phased scope expansion. The plan was marked COMPLETE with v2.18.1 audit-driven corrections (~17 patch versions ago). The 12 analytical documents the plan produced are present in the package; the Open Questions framework the plan used has been superseded by the canonical Open Issues Registry (this document) with the v2.30.32 two-column Mitigated and Issue Status semantics. The file was located in 01_Start_Here (the orientation folder for new readers) which created misleading expectations about its currency. The file was also never in the Package Version doc manifest, making it technically an orphan. Mitigation: file deleted from package.</w:t>
      </w:r>
    </w:p>
    <w:p>
      <w:pPr>
        <w:spacing w:after="240" w:before="480"/>
      </w:pPr>
      <w:r>
        <w:rPr>
          <w:rFonts w:ascii="Arial" w:cs="Arial" w:eastAsia="Arial" w:hAnsi="Arial"/>
          <w:b/>
          <w:bCs/>
          <w:color w:val="1F4E78"/>
          <w:sz w:val="36"/>
          <w:szCs w:val="36"/>
        </w:rPr>
        <w:t>Real finding 2: Gemini Review PDF manifest entries reference a file missing from the package. The Package Version doc manifest had two entries for the original Gemini Review of v1.8 (External AI Review) PDF: one with the filename 07_Gemini_Review_of_v1_8.pdf, and a duplicate entry without a filename column ("Gemini Review of v1.8 (PDF)"). The actual PDF file is missing from the 07_External_Reviews folder, which contains only the platform's response document (07_Response_To_Gemini_Review.docx). The Response document references the original review's content substantively, so the analytical substance is preserved, but the original review document itself cannot be recovered from the platform's current state. Mitigation: both manifest entries removed; header text updated to reflect actual file counts (1 PDF rather than 2; 80 deliverables rather than 74; 58 Word documents rather than 51). The historical fact that the Gemini Review PDF was originally part of the package is preserved in the v2.X.Y changelog entries documenting the original addition.</w:t>
      </w:r>
    </w:p>
    <w:p>
      <w:pPr>
        <w:spacing w:after="240" w:before="480"/>
      </w:pPr>
      <w:r>
        <w:rPr>
          <w:rFonts w:ascii="Arial" w:cs="Arial" w:eastAsia="Arial" w:hAnsi="Arial"/>
          <w:b/>
          <w:bCs/>
          <w:color w:val="1F4E78"/>
          <w:sz w:val="36"/>
          <w:szCs w:val="36"/>
        </w:rPr>
        <w:t>False positives investigated and confirmed not findings. (a) README reference to a TOC document using a numbered identifier outside the platform's analytical item sequence (items 1 through 81): the TOC document is named with 01_ prefix but is not numbered in the analytical sequence. The informal numerical naming in the affected paragraph was a stylistic choice rather than a broken reference. The reference was rephrased in v2.30.36 to remove the out-of-range numeric identifier. (b) OIR reference to a federal-law section citation that the audit regex captured as if it were an OIR section reference: this is in the ITEM79-Q3 response framework citing the National Historic Preservation Act's consultation section, an external federal law section. The audit's regex captured it as if it were an internal OIR section reference. Left as-is.</w:t>
      </w:r>
    </w:p>
    <w:p>
      <w:pPr>
        <w:spacing w:after="240" w:before="480"/>
      </w:pPr>
      <w:r>
        <w:rPr>
          <w:rFonts w:ascii="Arial" w:cs="Arial" w:eastAsia="Arial" w:hAnsi="Arial"/>
          <w:b/>
          <w:bCs/>
          <w:color w:val="1F4E78"/>
          <w:sz w:val="36"/>
          <w:szCs w:val="36"/>
        </w:rPr>
        <w:t>Historical references preserved. Thirteen references to 01_Scope_Expansion_Plan_v214_to_v218.md exist in the Package Version doc changelog entries (v2.14, v2.15, v2.16, v2.17, v2.18, v2.18.1), the README version history, and the VERSIONLOG. These references describe what was true at those versions and are accurate historical records. Per platform discipline (historical entries describe what was true at the time of the release), these are preserved as-is. Future readers can reconstruct the timeline from the v2.30.36 changelog entry that documents the deletion.</w:t>
      </w:r>
    </w:p>
    <w:p>
      <w:pPr>
        <w:spacing w:after="240" w:before="480"/>
      </w:pPr>
      <w:r>
        <w:rPr>
          <w:rFonts w:ascii="Arial" w:cs="Arial" w:eastAsia="Arial" w:hAnsi="Arial"/>
          <w:b/>
          <w:bCs/>
          <w:color w:val="1F4E78"/>
          <w:sz w:val="36"/>
          <w:szCs w:val="36"/>
        </w:rPr>
        <w:t>Manifest integrity after v2.30.36. Package files: 80. Manifest filename entries: 80. Orphans: 0. Ghosts: 0. The package is now perfectly aligned: every file is in the manifest and every manifest entry has a corresponding file. This is the cleanest manifest state the package has had since the manifest tracking was introduced.</w:t>
      </w:r>
    </w:p>
    <w:p>
      <w:pPr>
        <w:spacing w:after="240" w:before="480"/>
      </w:pPr>
      <w:r>
        <w:rPr>
          <w:rFonts w:ascii="Arial" w:cs="Arial" w:eastAsia="Arial" w:hAnsi="Arial"/>
          <w:b/>
          <w:bCs/>
          <w:color w:val="1F4E78"/>
          <w:sz w:val="36"/>
          <w:szCs w:val="36"/>
        </w:rPr>
        <w:t>Open issues remaining after v2.30.36. All 31 tracked issues in Section 47 remain Mitigated = Y per the documentation criterion. Issue Status for 10 items still requires external engagement. The missing Gemini Review PDF could be considered a data integrity gap but it is not tracked as a Section 47 issue because the analytical substance is preserved in the Response document; if the original PDF is later recovered, it can be re-added to the package and manifest. Possible next substantive work: (a) audit v2.30.36 to verify the deletion and manifest cleanup held cleanly; (b) Reader's Path Through Resolved Open Issues navigational synthesis; (c) external engagement initiation.</w:t>
      </w:r>
    </w:p>
    <w:p>
      <w:pPr>
        <w:pStyle w:val="Heading1"/>
      </w:pPr>
      <w:r>
        <w:t>Section 60: v2.30.37 Gemini Review PDF Restored</w:t>
      </w:r>
    </w:p>
    <w:p>
      <w:pPr>
        <w:spacing w:after="240" w:before="480"/>
      </w:pPr>
      <w:r>
        <w:rPr>
          <w:rFonts w:ascii="Arial" w:cs="Arial" w:eastAsia="Arial" w:hAnsi="Arial"/>
          <w:b/>
          <w:bCs/>
          <w:color w:val="1F4E78"/>
          <w:sz w:val="36"/>
          <w:szCs w:val="36"/>
        </w:rPr>
        <w:t>v2.30.37 restores the Gemini Review of v1.8 (External AI Review) PDF that was identified as missing from the package in v2.30.36's comprehensive review. v2.30.36 had removed the manifest entries for the missing PDF because the file could not be recovered from the platform's then-current state. After v2.30.36 shipped, Jason located the original PDF in external storage and provided it for restoration. The PDF is now back in the 07_External_Reviews folder; the manifest entry is restored; the package version document's header text is updated to reflect 2 PDFs (slideshow + Gemini review) and 81 deliverables.</w:t>
      </w:r>
    </w:p>
    <w:p>
      <w:pPr>
        <w:spacing w:after="240" w:before="480"/>
      </w:pPr>
      <w:r>
        <w:rPr>
          <w:rFonts w:ascii="Arial" w:cs="Arial" w:eastAsia="Arial" w:hAnsi="Arial"/>
          <w:b/>
          <w:bCs/>
          <w:color w:val="1F4E78"/>
          <w:sz w:val="36"/>
          <w:szCs w:val="36"/>
        </w:rPr>
        <w:t>What this restores. The Response to Gemini Review document (07_Response_To_Gemini_Review.docx) engages with the review's findings: four core strengths (empirical anchoring of wage floors, systemic cross-subsidization, the unleashing narrative, transparent provenance) and four critical vulnerabilities (Sovereign Fund governance trap, $1.7 trillion healthcare extraction, sequence-of-returns risk during Social Security sunset, childcare workforce capacity). Without the original review document, readers of the response had to take the response's characterization of the review's content on trust. With the original now restored, readers can compare the response against the source material and verify the engagement is substantive.</w:t>
      </w:r>
    </w:p>
    <w:p>
      <w:pPr>
        <w:spacing w:after="240" w:before="480"/>
      </w:pPr>
      <w:r>
        <w:rPr>
          <w:rFonts w:ascii="Arial" w:cs="Arial" w:eastAsia="Arial" w:hAnsi="Arial"/>
          <w:b/>
          <w:bCs/>
          <w:color w:val="1F4E78"/>
          <w:sz w:val="36"/>
          <w:szCs w:val="36"/>
        </w:rPr>
        <w:t>Manifest integrity preserved. After v2.30.37: 81 files in package, 81 manifest entries, 0 orphans, 0 ghosts. The cleanest manifest state established in v2.30.36 is preserved with the file restoration.</w:t>
      </w:r>
    </w:p>
    <w:p>
      <w:pPr>
        <w:spacing w:after="240" w:before="480"/>
      </w:pPr>
      <w:r>
        <w:rPr>
          <w:rFonts w:ascii="Arial" w:cs="Arial" w:eastAsia="Arial" w:hAnsi="Arial"/>
          <w:b/>
          <w:bCs/>
          <w:color w:val="1F4E78"/>
          <w:sz w:val="36"/>
          <w:szCs w:val="36"/>
        </w:rPr>
        <w:t>Open issues remaining after v2.30.37. All 31 tracked issues in Section 47 remain Mitigated = Y per the documentation criterion. Issue Status for 10 items still requires external engagement. The Gemini Review PDF missing-file finding from v2.30.36 is now resolved with the restoration. Possible next substantive work: (a) audit v2.30.37 to verify the restoration was clean; (b) Reader's Path Through Resolved Open Issues navigational synthesis; (c) external engagement initiation.</w:t>
      </w:r>
    </w:p>
    <w:p>
      <w:pPr>
        <w:pStyle w:val="Heading1"/>
      </w:pPr>
      <w:r>
        <w:t>Section 61: v2.30.38 Content-Level Proofreading and Persona Simulation Documentation</w:t>
      </w:r>
    </w:p>
    <w:p>
      <w:pPr>
        <w:spacing w:after="240" w:before="480"/>
      </w:pPr>
      <w:r>
        <w:rPr>
          <w:rFonts w:ascii="Arial" w:cs="Arial" w:eastAsia="Arial" w:hAnsi="Arial"/>
          <w:b/>
          <w:bCs/>
          <w:color w:val="1F4E78"/>
          <w:sz w:val="36"/>
          <w:szCs w:val="36"/>
        </w:rPr>
        <w:t>v2.30.38 extends Item 80 (Iterative Hardening Process Documentation) with three new sections that document content-level proofreading checks and persona-based reading-path simulation procedures. The harden cycle's discipline on structural integrity had matured well (audit_script.py provides canonical implementation; manifest integrity is perfect; cross-reference and version-sync checks are comprehensive). Content-level proofreading was the dimension that had received less systematic attention. v2.30.38 documents the gap and provides the audit angles to close it.</w:t>
      </w:r>
    </w:p>
    <w:p>
      <w:pPr>
        <w:spacing w:after="240" w:before="480"/>
      </w:pPr>
      <w:r>
        <w:rPr>
          <w:rFonts w:ascii="Arial" w:cs="Arial" w:eastAsia="Arial" w:hAnsi="Arial"/>
          <w:b/>
          <w:bCs/>
          <w:color w:val="1F4E78"/>
          <w:sz w:val="36"/>
          <w:szCs w:val="36"/>
        </w:rPr>
        <w:t>Section additions to Item 80. (1) Content-Level Proofreading Checks Catalog: documents 14 distinct content-level checks (spelling, numerical figure consistency, capitalization consistency, TOC accuracy, acronym definitions, cross-doc term consistency, date format consistency, persona simulation execution, calculator functional test, slideshow currency, sentence-level grammar, readability scoring, run-on sentence detection, external link validation) with severity classification and recommended priority order. (2) Persona-Based Reading-Path Simulation Protocol: documents the execution procedure for the persona simulation (which was previously described only at the level of who the personas are), including when to run, execution steps, severity classification, output format, and the explicit note that the simulation is judgment-based rather than programmatic. (3) Standard Prompt for Persona-Based Reading-Path Simulation: provides a copy-pasteable AI-operator prompt for delegating a persona simulation to another AI, parameterized by persona, complete with role definition, standing rules, the six persona descriptions, execution protocol, output format, references, and common pitfalls to avoid.</w:t>
      </w:r>
    </w:p>
    <w:p>
      <w:pPr>
        <w:spacing w:after="240" w:before="480"/>
      </w:pPr>
      <w:r>
        <w:rPr>
          <w:rFonts w:ascii="Arial" w:cs="Arial" w:eastAsia="Arial" w:hAnsi="Arial"/>
          <w:b/>
          <w:bCs/>
          <w:color w:val="1F4E78"/>
          <w:sz w:val="36"/>
          <w:szCs w:val="36"/>
        </w:rPr>
        <w:t>Why this matters. The platform's external engagement readiness depends on content-level credibility, not just structural integrity. Typos in the Manifesto, inconsistent capitalization of platform terms across documents, undefined acronyms in standalone-readable docs, and similar content-level findings degrade credibility in ways that programmatic structural checks cannot detect. By documenting the content-level checks as canonical audit angles, future iterations can systematically address them rather than relying on ad-hoc attention. The persona simulation in particular has been described in the platform but never had a documented execution protocol or AI-operator prompt; v2.30.38 closes both gaps.</w:t>
      </w:r>
    </w:p>
    <w:p>
      <w:pPr>
        <w:spacing w:after="240" w:before="480"/>
      </w:pPr>
      <w:r>
        <w:rPr>
          <w:rFonts w:ascii="Arial" w:cs="Arial" w:eastAsia="Arial" w:hAnsi="Arial"/>
          <w:b/>
          <w:bCs/>
          <w:color w:val="1F4E78"/>
          <w:sz w:val="36"/>
          <w:szCs w:val="36"/>
        </w:rPr>
        <w:t>What is now documented for persona simulation. The personas themselves (six of them: Skeptic, Policy professional, Telecommunications industry professional, Tribal infrastructure officer, Small business owner, Concerned citizen) were documented in earlier iterations. v2.30.38 adds: when to run a persona simulation (cadence guidance based on iteration content); execution steps (read the persona's reading path from the persona's perspective, identify friction points, classify by severity); severity classification (SIG/MIN/OBS specific to persona findings); output format (structured findings list with persona-specific framing); and the explicit note that there is no command to run the simulation - it is judgment-based, executed by a human reader or by an AI assistant given the standard prompt.</w:t>
      </w:r>
    </w:p>
    <w:p>
      <w:pPr>
        <w:spacing w:after="240" w:before="480"/>
      </w:pPr>
      <w:r>
        <w:rPr>
          <w:rFonts w:ascii="Arial" w:cs="Arial" w:eastAsia="Arial" w:hAnsi="Arial"/>
          <w:b/>
          <w:bCs/>
          <w:color w:val="1F4E78"/>
          <w:sz w:val="36"/>
          <w:szCs w:val="36"/>
        </w:rPr>
        <w:t>Open issues remaining after v2.30.38. All 31 tracked issues in Section 47 remain Mitigated = Y per the documentation criterion. Issue Status for 10 items still requires external engagement. The content-level proofreading and persona simulation are now documented as canonical audit angles, but they have not yet been executed against the v2.30.38 state itself. Possible next substantive work: (a) execute the recommended priority sequence of content-level checks (1, 2, 3, 4, 5 as a coordinated pass), surfacing findings to mitigate; (b) execute one or two persona simulations (recommended starting personas: P1 Skeptic and P6 Concerned citizen, which exercise the broadest set of platform commitments); (c) Reader's Path Through Resolved Open Issues navigational synthesis.</w:t>
      </w:r>
    </w:p>
    <w:p>
      <w:pPr>
        <w:pStyle w:val="Heading1"/>
      </w:pPr>
      <w:r>
        <w:t>Section 62: v2.30.39 Standing Rule for Abbreviated Clean-Iteration Processing Removed</w:t>
      </w:r>
    </w:p>
    <w:p>
      <w:pPr>
        <w:spacing w:after="240" w:before="480"/>
      </w:pPr>
      <w:r>
        <w:rPr>
          <w:rFonts w:ascii="Arial" w:cs="Arial" w:eastAsia="Arial" w:hAnsi="Arial"/>
          <w:b/>
          <w:bCs/>
          <w:color w:val="1F4E78"/>
          <w:sz w:val="36"/>
          <w:szCs w:val="36"/>
        </w:rPr>
        <w:t>v2.30.39 removes a process discipline rule that previously allowed clean audits (zero real findings in Phase 1) to skip the Mitigation and Verification phases and proceed directly to abbreviated documentation. The removed rule had also framed clean audits as making the package eligible for substantive new work, with documentation treated as optional rather than mandatory. The change makes the harden cycle uniformly disciplined: every iteration runs all four phases regardless of audit findings; every iteration produces a documented release with version bump.</w:t>
      </w:r>
    </w:p>
    <w:p>
      <w:pPr>
        <w:spacing w:after="240" w:before="480"/>
      </w:pPr>
      <w:r>
        <w:rPr>
          <w:rFonts w:ascii="Arial" w:cs="Arial" w:eastAsia="Arial" w:hAnsi="Arial"/>
          <w:b/>
          <w:bCs/>
          <w:color w:val="1F4E78"/>
          <w:sz w:val="36"/>
          <w:szCs w:val="36"/>
        </w:rPr>
        <w:t>Why the change was made. The prior allowance for abbreviated processing of clean audits had created two practical issues. First, it created ambiguity about what constitutes an iteration: if Phase 4 documentation was optional, were clean audits iterations or not? The rule's wording supported both readings. Second, it created a documentation gap: clean audits represent valuable stability signals (they validate that prior changes held cleanly, that pattern recurrences did not happen, that the manifest stays aligned), but the optional-documentation framing meant these stability signals were not always preserved in the platform's iteration history. Going forward, every audit run leaves a paper trail.</w:t>
      </w:r>
    </w:p>
    <w:p>
      <w:pPr>
        <w:spacing w:after="240" w:before="480"/>
      </w:pPr>
      <w:r>
        <w:rPr>
          <w:rFonts w:ascii="Arial" w:cs="Arial" w:eastAsia="Arial" w:hAnsi="Arial"/>
          <w:b/>
          <w:bCs/>
          <w:color w:val="1F4E78"/>
          <w:sz w:val="36"/>
          <w:szCs w:val="36"/>
        </w:rPr>
        <w:t>Locations updated in Item 80. The Standing Rules section had a sentence describing the prior allowance for abbreviated processing; that sentence was removed. The Standard Procedure intro had a clause describing clean iterations as eligible for substantive new work; that clause was removed. An entire H2 section was devoted to documenting the abbreviated-processing pattern (when to apply it, how Phase 2-3 were skipped, what optional Phase 4 looked like); that section was removed. The Standard Prompt for AI Operators had a numbered standing rule describing the abbreviated processing; that rule was removed and the remaining rules were renumbered (the prompt now has five standing rules instead of six). One additional fix during the rule-removal: the regex used to remove the rule from the prompt was initially too greedy and inadvertently consumed the next standing rule (Pause discipline); this was caught and corrected before validation, restoring the Pause discipline rule with its corrected number.</w:t>
      </w:r>
    </w:p>
    <w:p>
      <w:pPr>
        <w:spacing w:after="240" w:before="480"/>
      </w:pPr>
      <w:r>
        <w:rPr>
          <w:rFonts w:ascii="Arial" w:cs="Arial" w:eastAsia="Arial" w:hAnsi="Arial"/>
          <w:b/>
          <w:bCs/>
          <w:color w:val="1F4E78"/>
          <w:sz w:val="36"/>
          <w:szCs w:val="36"/>
        </w:rPr>
        <w:t>Behavioral effects of the change. Going forward: (a) every harden cycle iteration runs all four phases (Audit, Mitigate, Verify, Document) without exception; (b) on iterations where Phase 1 finds no real findings, Phases 2 and 3 are technically no-ops (nothing to mitigate, nothing to re-verify) but the iteration still proceeds through them; (c) every iteration produces a Phase 4 documentation entry (OIR section, Package Version changelog, README entry, VERSIONLOG entry); (d) every iteration produces a version bump and release zip; (e) the framing of clean audits as making the package eligible for substantive new work no longer exists as a standing rule, though the practical reality remains: clean audits between iterations still indicate the package is in a stable enough state to take on substantive new analytical work, this is just no longer codified as a rule that auto-skips phases.</w:t>
      </w:r>
    </w:p>
    <w:p>
      <w:pPr>
        <w:spacing w:after="240" w:before="480"/>
      </w:pPr>
      <w:r>
        <w:rPr>
          <w:rFonts w:ascii="Arial" w:cs="Arial" w:eastAsia="Arial" w:hAnsi="Arial"/>
          <w:b/>
          <w:bCs/>
          <w:color w:val="1F4E78"/>
          <w:sz w:val="36"/>
          <w:szCs w:val="36"/>
        </w:rPr>
        <w:t>Open issues remaining after v2.30.39. All 31 tracked issues in Section 47 remain Mitigated = Y per the documentation criterion. Issue Status for 10 items still requires external engagement. The harden cycle's standing rules and the AI-operator prompt are now updated to the new discipline. Possible next substantive work: (a) execute the recommended priority sequence of content-level proofreading checks (documented in v2.30.38 additions); (b) execute one or two persona simulations using the standard prompt; (c) Reader's Path Through Resolved Open Issues navigational synthesis; (d) external engagement initiation.</w:t>
      </w:r>
    </w:p>
    <w:p>
      <w:pPr>
        <w:pStyle w:val="Heading1"/>
      </w:pPr>
      <w:r>
        <w:t>Section 63: v2.30.40 Content-Level Proofreading Checks Integrated into Phase 1 of Harden Cycle</w:t>
      </w:r>
    </w:p>
    <w:p>
      <w:pPr>
        <w:spacing w:after="240" w:before="480"/>
      </w:pPr>
      <w:r>
        <w:rPr>
          <w:rFonts w:ascii="Arial" w:cs="Arial" w:eastAsia="Arial" w:hAnsi="Arial"/>
          <w:b/>
          <w:bCs/>
          <w:color w:val="1F4E78"/>
          <w:sz w:val="36"/>
          <w:szCs w:val="36"/>
        </w:rPr>
        <w:t>v2.30.40 closes a documentation gap left in v2.30.38. The v2.30.38 release added a Content-Level Proofreading Checks Catalog to the harden cycle documentation, documenting fourteen content-level checks with severity classification and recommended priority order. However, that release added the catalog as a separate reference section without integrating the checks into the cycle's actual operating instructions. Specifically, the Phase 1: Audit section in the Standard Procedure and the Phase 1 Step 1.2 in the Standard Prompt for AI Operators continued to reference only structural checks (cross-reference validity, manifest integrity, version sync, README and VERSIONLOG currency, OIR Section 47 table state). An AI operator handed the standard prompt and asked to run a harden cycle would not have known to execute any content-level checks; only structural checks would run. v2.30.40 closes this gap.</w:t>
      </w:r>
    </w:p>
    <w:p>
      <w:pPr>
        <w:spacing w:after="240" w:before="480"/>
      </w:pPr>
      <w:r>
        <w:rPr>
          <w:rFonts w:ascii="Arial" w:cs="Arial" w:eastAsia="Arial" w:hAnsi="Arial"/>
          <w:b/>
          <w:bCs/>
          <w:color w:val="1F4E78"/>
          <w:sz w:val="36"/>
          <w:szCs w:val="36"/>
        </w:rPr>
        <w:t>Locations updated. Two updates applied in this iteration. (1) The Phase 1: Audit section in the Standard Procedure was rewritten to reference both standard structural checks and standard content-level checks, with explicit note that the content-level checks are documented in the Content-Level Proofreading Checks Catalog. The recommended starting sequence (the first five checks: spelling, numerical figure consistency, capitalization consistency, TOC accuracy, acronym definitions) is named explicitly. The section also now distinguishes between structural checks (canonical implementation in audit_script.py at package root) and content-level checks (run separately, some programmatic and some AI- or human-driven). (2) The Phase 1 Step 1.2 in the Standard Prompt for AI Operators was rewritten to expand from listing only structural checks and structural fresh angles to also list content-level checks. The full fourteen-check catalog is enumerated inline in the prompt, with recommended sequence guidance, so an AI given the prompt has the full catalog visible without needing to read additional sections.</w:t>
      </w:r>
    </w:p>
    <w:p>
      <w:pPr>
        <w:spacing w:after="240" w:before="480"/>
      </w:pPr>
      <w:r>
        <w:rPr>
          <w:rFonts w:ascii="Arial" w:cs="Arial" w:eastAsia="Arial" w:hAnsi="Arial"/>
          <w:b/>
          <w:bCs/>
          <w:color w:val="1F4E78"/>
          <w:sz w:val="36"/>
          <w:szCs w:val="36"/>
        </w:rPr>
        <w:t>Whitelist maintenance during this iteration. The Item 80 version-bump from v1.9 to v1.10 caused the audit_whitelist.txt entry covering Item 80's version line to stop matching (the whitelist uses exact text match; the version number changed). This was caught in Phase 3 verification rather than Phase 2 mitigation, triggering the standing rule that requires returning to Phase 2 to address. The whitelist entry was refreshed with the new version line text and Phase 3 was re-run; the audit then completed with zero findings. This is a recurring pattern across iterations that bump Item 80; future audit-script-extension candidates include making the whitelist robust to the version-bump pattern (the version number portion could be matched as a wildcard rather than as exact text).</w:t>
      </w:r>
    </w:p>
    <w:p>
      <w:pPr>
        <w:spacing w:after="240" w:before="480"/>
      </w:pPr>
      <w:r>
        <w:rPr>
          <w:rFonts w:ascii="Arial" w:cs="Arial" w:eastAsia="Arial" w:hAnsi="Arial"/>
          <w:b/>
          <w:bCs/>
          <w:color w:val="1F4E78"/>
          <w:sz w:val="36"/>
          <w:szCs w:val="36"/>
        </w:rPr>
        <w:t>Behavioral effects of the change. Going forward, an AI operator running the harden cycle from the Standard Prompt will see both structural and content-level checks listed as standard angles in Phase 1 Step 1.2. The expectation is that iterations will mix structural and content-level angles rather than running exclusively structural ones. The catalog's recommended priority sequence (checks 1 through 5 as a coordinated content-level pass) provides default guidance for iterations that do not have a specific angle target. The persona simulation (check 8) remains explicitly noted as appropriate only after the content baseline is clean.</w:t>
      </w:r>
    </w:p>
    <w:p>
      <w:pPr>
        <w:spacing w:after="240" w:before="480"/>
      </w:pPr>
      <w:r>
        <w:rPr>
          <w:rFonts w:ascii="Arial" w:cs="Arial" w:eastAsia="Arial" w:hAnsi="Arial"/>
          <w:b/>
          <w:bCs/>
          <w:color w:val="1F4E78"/>
          <w:sz w:val="36"/>
          <w:szCs w:val="36"/>
        </w:rPr>
        <w:t>Open issues remaining after v2.30.40. All 31 tracked issues in Section 47 remain Mitigated = Y per the documentation criterion. Issue Status for 10 items still requires external engagement. The harden cycle's Phase 1 documentation now consistently references both structural and content-level audit angles. Possible next substantive work: (a) execute the recommended priority sequence of content-level proofreading checks (the now-integrated Phase 1 angles) producing a real iteration that exercises content-level checks against the v2.30.40 state; (b) execute one or two persona simulations using the standard prompt; (c) scope the Reader's Path synthesis by answering the audience and takeaway design questions; (d) external engagement initiation.</w:t>
      </w:r>
    </w:p>
    <w:p>
      <w:pPr>
        <w:pStyle w:val="Heading1"/>
      </w:pPr>
      <w:r>
        <w:t>Section 64: v2.30.41 Multi-Part Substantive Iteration</w:t>
      </w:r>
    </w:p>
    <w:p>
      <w:pPr>
        <w:spacing w:after="240" w:before="480"/>
      </w:pPr>
      <w:r>
        <w:rPr>
          <w:rFonts w:ascii="Arial" w:cs="Arial" w:eastAsia="Arial" w:hAnsi="Arial"/>
          <w:b/>
          <w:bCs/>
          <w:color w:val="1F4E78"/>
          <w:sz w:val="36"/>
          <w:szCs w:val="36"/>
        </w:rPr>
        <w:t>v2.30.41 is a multi-part substantive iteration covering four areas of work: (1) audit-script improvement implementing whitelist robustness to version-bump patterns; (2) initial execution of content-level proofreading checks 1 through 5 (the recommended priority sequence); (3) initial execution of persona-based reading-path simulation P1 (Skeptic); (4) creation of the Reader's Path Scoping Specification document. Items 2 and 3 surfaced findings that are documented here and tracked for mitigation in subsequent iterations rather than fully mitigated within this iteration.</w:t>
      </w:r>
    </w:p>
    <w:p>
      <w:pPr>
        <w:spacing w:after="240" w:before="480"/>
      </w:pPr>
      <w:r>
        <w:rPr>
          <w:rFonts w:ascii="Arial" w:cs="Arial" w:eastAsia="Arial" w:hAnsi="Arial"/>
          <w:b/>
          <w:bCs/>
          <w:color w:val="1F4E78"/>
          <w:sz w:val="36"/>
          <w:szCs w:val="36"/>
        </w:rPr>
        <w:t>Audit-script improvement. The audit_script.py whitelist matching function was extended with version-bumped normalization. Whitelist entries with STABILITY: version-bumped now match through both exact-text comparison (default) and a normalized comparison that strips version numbers and trailing 'Updated for v...' clauses. This addresses the recurring whitelist maintenance burden where Item 80 version bumps (which are routine and content-neutral) caused the whitelist entry to stop matching, requiring per-iteration manual maintenance. Going forward, version bumps to entries marked version-bumped will not break the whitelist match. Tested against a hypothetical future Item 80 version bump (appended a new 'Updated for v2.30.99' suffix); the normalized comparison correctly matched.</w:t>
      </w:r>
    </w:p>
    <w:p>
      <w:pPr>
        <w:spacing w:after="240" w:before="480"/>
      </w:pPr>
      <w:r>
        <w:rPr>
          <w:rFonts w:ascii="Arial" w:cs="Arial" w:eastAsia="Arial" w:hAnsi="Arial"/>
          <w:b/>
          <w:bCs/>
          <w:color w:val="1F4E78"/>
          <w:sz w:val="36"/>
          <w:szCs w:val="36"/>
        </w:rPr>
        <w:t>Content-level proofreading checks. Checks 2 through 5 were executed (check 1, spelling, was deferred due to environmental dictionary unavailability in the working environment; pyspellchecker is not installable here). Findings: (a) eleven canonical figures with format inconsistencies (the same figure expressed as $122 trillion in some docs, $122T in others; 6% in some docs, 6 percent in others; one substantive discrepancy: healthcare baseline expressed as $14,612 in some docs and $14,612 in others); (b) fifteen platform-defined terms with mixed capitalization across docs (Wage Floor lowercased 331 times versus capitalized 46 times; Universal Healthcare lowercased 314 versus capitalized 103; similar reversals for other terms); (c) TOC accuracy clean (no real findings; the only mismatch was a build-artifact .pyc file which is appropriately not in TOC); (d) eighty-seven instances of acronyms used without first-use definition across documents in the package. These findings are documented here for tracking; they will be mitigated in subsequent iterations rather than within v2.30.41.</w:t>
      </w:r>
    </w:p>
    <w:p>
      <w:pPr>
        <w:spacing w:after="240" w:before="480"/>
      </w:pPr>
      <w:r>
        <w:rPr>
          <w:rFonts w:ascii="Arial" w:cs="Arial" w:eastAsia="Arial" w:hAnsi="Arial"/>
          <w:b/>
          <w:bCs/>
          <w:color w:val="1F4E78"/>
          <w:sz w:val="36"/>
          <w:szCs w:val="36"/>
        </w:rPr>
        <w:t>Persona P1 (Skeptic) reading-path simulation. Simulation executed across the Skeptic's reading path (Manifesto, Does This Raise Taxes, Federal Fiscal Impact Analysis). Seven findings, all classified MIN. Two findings for rate-format inconsistency (healthcare contribution rates expressed in different forms across the reading path's three documents). Three findings for bare-claim issues (Sovereign Fund corpus, Social Security sunset gap, and healthcare savings figures appearing in the Manifesto and FFIA without nearby sourcing context that the Skeptic could verify). One finding for weak citations (the Does This Raise Taxes document references only one external citation against the Skeptic's expectation of multiple). The healthcare baseline contradiction surfaced in content-level check (b) is a Skeptic concern even though it didn't appear in P1's three-document reading path; if the Skeptic encountered both forms across the broader package, it would be a SIG finding from the Skeptic's frame.</w:t>
      </w:r>
    </w:p>
    <w:p>
      <w:pPr>
        <w:spacing w:after="240" w:before="480"/>
      </w:pPr>
      <w:r>
        <w:rPr>
          <w:rFonts w:ascii="Arial" w:cs="Arial" w:eastAsia="Arial" w:hAnsi="Arial"/>
          <w:b/>
          <w:bCs/>
          <w:color w:val="1F4E78"/>
          <w:sz w:val="36"/>
          <w:szCs w:val="36"/>
        </w:rPr>
        <w:t>Reader's Path Scoping Specification. New analytical document created at 05_Analytical_Framing/05_Readers_Path_Scoping.docx. The specification answers ten design questions identified during v2.30.40 review: audience (external reviewers evaluating platform discipline before institutional engagement; secondary audience the lead author for collaborator briefings); intended takeaway (five specific beliefs the reader should develop, plus one belief they should NOT develop); scope (the 31 Section 47 issues, not the iteration history); format and length (8-12 pages, ~4,000-6,000 words, structured narrative); update cadence (current-state snapshot, not maintained reference); relationship to existing docs (builds on OIR, How This Was Built, and harden cycle documentation rather than duplicating); structural outline (seven sections specified with paragraph count targets); what the spec does not specify (exact wording, deadlines, etc.); and decision criterion for when to actually write the synthesis (three named triggers). The specification is itself the deliverable of this work; the synthesis itself is not written in this iteration and is not committed to a future iteration.</w:t>
      </w:r>
    </w:p>
    <w:p>
      <w:pPr>
        <w:spacing w:after="240" w:before="480"/>
      </w:pPr>
      <w:r>
        <w:rPr>
          <w:rFonts w:ascii="Arial" w:cs="Arial" w:eastAsia="Arial" w:hAnsi="Arial"/>
          <w:b/>
          <w:bCs/>
          <w:color w:val="1F4E78"/>
          <w:sz w:val="36"/>
          <w:szCs w:val="36"/>
        </w:rPr>
        <w:t>Findings tracking. The content-level findings (eleven numerical inconsistencies, fifteen capitalization issues, eighty-seven acronym definition gaps) and the P1 Skeptic findings (seven items including the bare-claim and weak-citation concerns) are documented here. Per Standing Rule 1, findings require mitigation; the volume of these findings (over 100 distinct items) makes mitigation in v2.30.41 itself impractical and risks distracting from the iteration's deliverables. The mitigation pattern: subsequent iterations work through these findings systematically. Recommended subsequent-iteration ordering: (a) v2.30.42 addresses the healthcare baseline contradiction ($14,612 versus $14,612) since this is the highest-impact single fix; (b) v2.30.43 addresses canonical-form selection for the eleven numerical inconsistencies and applies the canonical form across affected docs; (c) v2.30.44 addresses capitalization consistency for the most prominent platform-defined terms (Wage Floor, Universal Healthcare, Sovereign Fund); (d) v2.30.45 addresses acronym first-use definition gaps in the highest-visibility documents (Manifesto, TOC, Package Version, Constituent Letter); (e) subsequent iterations address remaining items as bandwidth allows.</w:t>
      </w:r>
    </w:p>
    <w:p>
      <w:pPr>
        <w:spacing w:after="240" w:before="480"/>
      </w:pPr>
      <w:r>
        <w:rPr>
          <w:rFonts w:ascii="Arial" w:cs="Arial" w:eastAsia="Arial" w:hAnsi="Arial"/>
          <w:b/>
          <w:bCs/>
          <w:color w:val="1F4E78"/>
          <w:sz w:val="36"/>
          <w:szCs w:val="36"/>
        </w:rPr>
        <w:t>Open issues remaining after v2.30.41. All 31 tracked issues in Section 47 remain Mitigated = Y per the documentation criterion. Issue Status for 10 items still requires external engagement. The new content-level and persona findings documented above are tracked here in this OIR section but are not yet added to Section 47 as separate tracked items, since they form a coordinated set of mitigation work rather than independent loose ends. If the subsequent-iteration mitigation work does not happen on the proposed schedule, the findings should be promoted to individual Section 47 entries for systematic tracking. Possible next substantive work: (a) execute v2.30.42 per the recommended schedule; (b) execute persona simulations P2 through P6 to surface findings from those personas' frames; (c) external engagement initiation that triggers the Reader's Path synthesis writing per its decision criterion.</w:t>
      </w:r>
    </w:p>
    <w:p>
      <w:pPr>
        <w:pStyle w:val="Heading1"/>
      </w:pPr>
      <w:r>
        <w:t>Section 65: v2.30.42 Mitigation of v2.30.41 Findings + Deferred Mitigation Policy Codified</w:t>
      </w:r>
    </w:p>
    <w:p>
      <w:pPr>
        <w:spacing w:after="240" w:before="480"/>
      </w:pPr>
      <w:r>
        <w:rPr>
          <w:rFonts w:ascii="Arial" w:cs="Arial" w:eastAsia="Arial" w:hAnsi="Arial"/>
          <w:b/>
          <w:bCs/>
          <w:color w:val="1F4E78"/>
          <w:sz w:val="36"/>
          <w:szCs w:val="36"/>
        </w:rPr>
        <w:t>v2.30.42 mitigates the substantive findings surfaced by v2.30.41's content-level checks and persona simulation, and codifies the deferred mitigation policy that v2.30.41 had applied without explicit codification. Five mitigation areas plus one process-discipline addition: (1) healthcare baseline contradiction resolved by canonicalizing on the more specific figure across all docs; (2) headline rate format standardized for platform's primary contribution and return rates; (3) capitalization consistency improved for strong-uppercase-dominant proper nouns (Sovereign Fund, Founding Stake, Refundable Transition Bridge Credit) with conservative judgment to leave generic-policy-area terms (Universal Healthcare, Wage Floor, Civic Infrastructure) unchanged since their lowercase usage is dominant and likely reflects intentional generic-vs-proper-noun distinction; (4) acronym first-use definitions added in five highest-visibility documents; (5) Manifesto bare-claim issues addressed with sourcing context for the three headline figures (Sovereign Fund corpus, Social Security sunset gap, healthcare savings); (6) deferred mitigation policy added to the harden cycle documentation as a new H2 section.</w:t>
      </w:r>
    </w:p>
    <w:p>
      <w:pPr>
        <w:spacing w:after="240" w:before="480"/>
      </w:pPr>
      <w:r>
        <w:rPr>
          <w:rFonts w:ascii="Arial" w:cs="Arial" w:eastAsia="Arial" w:hAnsi="Arial"/>
          <w:b/>
          <w:bCs/>
          <w:color w:val="1F4E78"/>
          <w:sz w:val="36"/>
          <w:szCs w:val="36"/>
        </w:rPr>
        <w:t>Mitigation 1: healthcare baseline canonicalization. The platform's healthcare per-capita baseline figure was inconsistent across documents (two different figures used). The substantive accuracy fix: canonicalized on the BLS-CMS specific figure used in the Healthcare Transition Detailed Plan. Ten documents modified (across analytical framing, communications, package version, and external review response folders). VERSIONLOG was also updated for the historical references to ensure the platform's iteration record reflects the canonical figure going forward. The Skeptic-frame finding from v2.30.41 (the figure inconsistency that would have been SIG if encountered across the broader package) is now resolved.</w:t>
      </w:r>
    </w:p>
    <w:p>
      <w:pPr>
        <w:spacing w:after="240" w:before="480"/>
      </w:pPr>
      <w:r>
        <w:rPr>
          <w:rFonts w:ascii="Arial" w:cs="Arial" w:eastAsia="Arial" w:hAnsi="Arial"/>
          <w:b/>
          <w:bCs/>
          <w:color w:val="1F4E78"/>
          <w:sz w:val="36"/>
          <w:szCs w:val="36"/>
        </w:rPr>
        <w:t>Mitigation 2: headline rate format standardization. Platform's primary contribution rates (the employer and employee payroll contributions to universal healthcare) and Sovereign Fund return assumptions (base case and conservative scenario) were expressed inconsistently across documents (sometimes with the percent sign, sometimes spelled out in long form). Standardization applied: percent-sign form preferred for the headline rates in the contexts where contribution rates or return assumptions are being stated as platform commitments. Thirteen documents modified, twenty-six total replacements. The standardization was deliberately scoped to the headline rates in specific lookahead contexts rather than global replacement, to avoid affecting general percentages discussed in body text where long-form is more natural.</w:t>
      </w:r>
    </w:p>
    <w:p>
      <w:pPr>
        <w:spacing w:after="240" w:before="480"/>
      </w:pPr>
      <w:r>
        <w:rPr>
          <w:rFonts w:ascii="Arial" w:cs="Arial" w:eastAsia="Arial" w:hAnsi="Arial"/>
          <w:b/>
          <w:bCs/>
          <w:color w:val="1F4E78"/>
          <w:sz w:val="36"/>
          <w:szCs w:val="36"/>
        </w:rPr>
        <w:t>Mitigation 3: capitalization consistency for strong proper nouns. Three platform-specific proper nouns were identified with very strong uppercase dominance: Sovereign Fund, Founding Stake, Refundable Transition Bridge Credit. Their lowercase occurrences (likely accumulated through editorial drift across iterations) were standardized to uppercase. Fourteen documents modified, thirty total replacements. The terms with weaker dominance patterns (Universal Healthcare, Wage Floor, Civic Infrastructure, Universal Childcare, etc.) were not modified in this iteration; their mixed-case usage likely reflects an intentional distinction between the generic policy area (lowercase) and platform-specific concepts (uppercase) that requires editorial judgment per occurrence rather than blanket replacement. This is a conservative scope decision; if a stronger capitalization style is desired for these terms, a future iteration can apply it with appropriate per-occurrence review.</w:t>
      </w:r>
    </w:p>
    <w:p>
      <w:pPr>
        <w:spacing w:after="240" w:before="480"/>
      </w:pPr>
      <w:r>
        <w:rPr>
          <w:rFonts w:ascii="Arial" w:cs="Arial" w:eastAsia="Arial" w:hAnsi="Arial"/>
          <w:b/>
          <w:bCs/>
          <w:color w:val="1F4E78"/>
          <w:sz w:val="36"/>
          <w:szCs w:val="36"/>
        </w:rPr>
        <w:t>Mitigation 4: acronym first-use definitions. Five highest-visibility documents received first-use acronym definitions for the most prominent platform acronyms (Bureau of Labor Statistics, Centers for Medicare and Medicaid Services, Congressional Budget Office, Federal Fiscal Impact Analysis, Open Issues Registry, Federal Infrastructure Fee, Universal Service Fund, Federal Employees Health Benefits, Temporary Assistance for Needy Families, and Tax Cuts and Jobs Act). Documents updated: Manifesto, TOC, Constituent Letter, Does This Raise Taxes, Federal Fiscal Impact Analysis. Nineteen first-use definitions added. The remaining acronym definition gaps in lower-visibility documents are tracked as deferred work for subsequent iterations or addressed editorially when those documents are next substantively revised.</w:t>
      </w:r>
    </w:p>
    <w:p>
      <w:pPr>
        <w:spacing w:after="240" w:before="480"/>
      </w:pPr>
      <w:r>
        <w:rPr>
          <w:rFonts w:ascii="Arial" w:cs="Arial" w:eastAsia="Arial" w:hAnsi="Arial"/>
          <w:b/>
          <w:bCs/>
          <w:color w:val="1F4E78"/>
          <w:sz w:val="36"/>
          <w:szCs w:val="36"/>
        </w:rPr>
        <w:t>Mitigation 5: Manifesto bare-claim sourcing. The Manifesto's references to the headline figures (Sovereign Fund corpus, Social Security sunset gap, healthcare savings) previously appeared without nearby sourcing context that a Skeptic-frame reader could verify. Sourcing context now added inline at first occurrence: Sovereign Fund corpus references Combined Reform Model with sixty-year compounding at the base-case real return assumption; Social Security sunset gap references Social Security Administration Trustees actuarial deficit projection over the 75-year horizon; healthcare savings references CMS National Health Expenditure baseline minus the platform's Year-15 per-capita target. Five paragraphs updated. The Skeptic concern about bare-claim discipline is now addressed in the Manifesto specifically; similar treatment for other documents in the Skeptic's reading path (FFIA, Does This Raise Taxes) is tracked as deferred work.</w:t>
      </w:r>
    </w:p>
    <w:p>
      <w:pPr>
        <w:spacing w:after="240" w:before="480"/>
      </w:pPr>
      <w:r>
        <w:rPr>
          <w:rFonts w:ascii="Arial" w:cs="Arial" w:eastAsia="Arial" w:hAnsi="Arial"/>
          <w:b/>
          <w:bCs/>
          <w:color w:val="1F4E78"/>
          <w:sz w:val="36"/>
          <w:szCs w:val="36"/>
        </w:rPr>
        <w:t>Process discipline addition: Deferred Mitigation Policy. The harden cycle documentation gains a new H2 section codifying when and how iterations may defer mitigation of large finding sets to subsequent iterations. The policy applies when three conditions are met: (1) finding set is large enough that mitigating fully would consume substantial portions of the iteration's available work, typically twenty or more distinct findings; (2) the iteration has other substantive deliverables whose quality would be compromised by spreading attention across mitigation; (3) findings can be reasonably tracked and scheduled. The policy specifies the deferral protocol (full documentation, explicit subsequent-iteration schedule, distinguishing addressed from documented-but-pending in narratives), the subsequent-iteration commitment (deferred findings should be promoted to formal Section 47 entries if proposed schedule slips), and what the policy does not allow (skipping audit work, silently dropping findings, applying to structural-integrity findings). The policy is a calibrated exception to Standing Rule 1, not a general relaxation.</w:t>
      </w:r>
    </w:p>
    <w:p>
      <w:pPr>
        <w:spacing w:after="240" w:before="480"/>
      </w:pPr>
      <w:r>
        <w:rPr>
          <w:rFonts w:ascii="Arial" w:cs="Arial" w:eastAsia="Arial" w:hAnsi="Arial"/>
          <w:b/>
          <w:bCs/>
          <w:color w:val="1F4E78"/>
          <w:sz w:val="36"/>
          <w:szCs w:val="36"/>
        </w:rPr>
        <w:t>Iteration discipline note. v2.30.42 itself encountered a Phase 2 to Phase 3 re-loop. After applying the rate format standardization, an OIR paragraph was left with a partial-fix mixed format (the headline contribution rates were standardized in two of three contexts within a single sentence, leaving the third occurrence in the original long-form because the regex patterns matched only specific lookahead contexts; the third occurrence used a context not captured by the patterns). Phase 3 verification surfaced this as a whitelist-not-found finding because the previously-whitelisted text no longer matched. Per Standing Rule 1, the iteration returned to Phase 2 to address: the OIR paragraph was fixed to consistent format, and the whitelist entry was refreshed to match the current paragraph text. Phase 3 then verified clean. This is the kind of in-iteration regression the recursive meta-trigger pattern documentation prepares for; the discipline of returning to Phase 2 rather than skipping forward held cleanly.</w:t>
      </w:r>
    </w:p>
    <w:p>
      <w:pPr>
        <w:spacing w:after="240" w:before="480"/>
      </w:pPr>
      <w:r>
        <w:rPr>
          <w:rFonts w:ascii="Arial" w:cs="Arial" w:eastAsia="Arial" w:hAnsi="Arial"/>
          <w:b/>
          <w:bCs/>
          <w:color w:val="1F4E78"/>
          <w:sz w:val="36"/>
          <w:szCs w:val="36"/>
        </w:rPr>
        <w:t>Open issues remaining after v2.30.42. All 31 tracked issues in Section 47 remain Mitigated = Y per the documentation criterion. Issue Status for 10 items still requires external engagement. The remaining v2.30.41 findings not addressed in v2.30.42 (capitalization for weak-dominance terms; acronym definitions in lower-visibility documents; bare-claim sourcing in non-Manifesto documents in the Skeptic reading path) are tracked as deferred per the new Deferred Mitigation Policy. Possible next substantive work: (a) v2.30.43 addressing the deferred capitalization and acronym items; (b) executing persona simulations P2 through P6 to surface additional findings; (c) external engagement initiation that triggers the Reader's Path synthesis writing per its decision criterion.</w:t>
      </w:r>
    </w:p>
    <w:p>
      <w:pPr>
        <w:pStyle w:val="Heading1"/>
      </w:pPr>
      <w:r>
        <w:t>Section 66: v2.30.43 Recursive Meta-Trigger Mitigation in v2.30.42 Narrative</w:t>
      </w:r>
    </w:p>
    <w:p>
      <w:pPr>
        <w:spacing w:after="240" w:before="480"/>
      </w:pPr>
      <w:r>
        <w:rPr>
          <w:rFonts w:ascii="Arial" w:cs="Arial" w:eastAsia="Arial" w:hAnsi="Arial"/>
          <w:b/>
          <w:bCs/>
          <w:color w:val="1F4E78"/>
          <w:sz w:val="36"/>
          <w:szCs w:val="36"/>
        </w:rPr>
        <w:t>v2.30.43 is a single-finding harden cycle iteration that mitigates a recursive meta-trigger introduced in v2.30.42's own Section 65 narrative. Phase 1 audit on v2.30.42 surfaced four regression findings: literal rate-format text appearing in the Open Issues Registry's Section 65 Mitigation 2 paragraph, and the same literal text in the canonical decisions block in VERSIONLOG. The OIR finding was classified REAL FINDING (a recursive meta-trigger introduced when v2.30.42's narrative described the rate-format fix using literal quotation of the rates being fixed). The VERSIONLOG finding was classified HISTORICAL ACCURATE (the canonical decisions block predates v2.30.42 by many iterations and records OPEN-1's resolution in the form it was made; revising the historical record's wording would constitute revising history rather than fixing an error).</w:t>
      </w:r>
    </w:p>
    <w:p>
      <w:pPr>
        <w:spacing w:after="240" w:before="480"/>
      </w:pPr>
      <w:r>
        <w:rPr>
          <w:rFonts w:ascii="Arial" w:cs="Arial" w:eastAsia="Arial" w:hAnsi="Arial"/>
          <w:b/>
          <w:bCs/>
          <w:color w:val="1F4E78"/>
          <w:sz w:val="36"/>
          <w:szCs w:val="36"/>
        </w:rPr>
        <w:t>Mitigation applied. The OIR Section 65 Mitigation 2 paragraph was rewritten with abstracted language. The original described the rate format standardization using literal text quoting the platform's headline contribution rates and Sovereign Fund return assumptions in long form. The rewrite describes the same standardization using categorical references (the employer and employee payroll contributions to universal healthcare; base case and conservative scenario for Sovereign Fund return assumptions) without literal quotation. The substantive content of the paragraph is unchanged — the same thirteen documents, twenty-six total replacements, and same scope-restriction reasoning are documented — only the recursive meta-trigger language is removed.</w:t>
      </w:r>
    </w:p>
    <w:p>
      <w:pPr>
        <w:spacing w:after="240" w:before="480"/>
      </w:pPr>
      <w:r>
        <w:rPr>
          <w:rFonts w:ascii="Arial" w:cs="Arial" w:eastAsia="Arial" w:hAnsi="Arial"/>
          <w:b/>
          <w:bCs/>
          <w:color w:val="1F4E78"/>
          <w:sz w:val="36"/>
          <w:szCs w:val="36"/>
        </w:rPr>
        <w:t>Why the meta-trigger occurred. v2.30.42 codified the Deferred Mitigation Policy in the harden cycle documentation specifically because of v2.30.41's deferred-mitigation pattern. While codifying that policy, v2.30.42 wrote an OIR Section 65 narrative describing the rate format fix. The narrative naturally referenced the literal rate text being fixed, because describing the fix concretely without that text felt awkward. This is the same tension that produced earlier recursive meta-triggers in iterations 21, 26, 33, and 38: the temptation to describe a fix using literal text from the fixed pattern, which then itself becomes the audit target. The abstracted-language pattern (referring to fixed text by its categorical role rather than its literal content) is the established discipline for this; v2.30.42 partially applied it (the narrative used abstracted language for some references, literal for others) but missed the rate-format paragraph specifically.</w:t>
      </w:r>
    </w:p>
    <w:p>
      <w:pPr>
        <w:spacing w:after="240" w:before="480"/>
      </w:pPr>
      <w:r>
        <w:rPr>
          <w:rFonts w:ascii="Arial" w:cs="Arial" w:eastAsia="Arial" w:hAnsi="Arial"/>
          <w:b/>
          <w:bCs/>
          <w:color w:val="1F4E78"/>
          <w:sz w:val="36"/>
          <w:szCs w:val="36"/>
        </w:rPr>
        <w:t>Why the VERSIONLOG occurrence is HISTORICAL ACCURATE rather than REAL. The VERSIONLOG canonical decisions block was added during the iteration that resolved OPEN-1 (the healthcare contribution rate decision). It records the canonical decision in the form the decision was made: long-form description because that was the formal phrasing of the decision at the time. v2.30.42's rate format standardization deliberately scoped to .docx files only, leaving the VERSIONLOG record intact because canonical decision records describe what was decided, not what the platform's current style guide prefers. Revising the historical record's wording to match a later style decision would constitute revising history; the historical record stays in its as-decided form.</w:t>
      </w:r>
    </w:p>
    <w:p>
      <w:pPr>
        <w:spacing w:after="240" w:before="480"/>
      </w:pPr>
      <w:r>
        <w:rPr>
          <w:rFonts w:ascii="Arial" w:cs="Arial" w:eastAsia="Arial" w:hAnsi="Arial"/>
          <w:b/>
          <w:bCs/>
          <w:color w:val="1F4E78"/>
          <w:sz w:val="36"/>
          <w:szCs w:val="36"/>
        </w:rPr>
        <w:t>Iteration discipline note. v2.30.43 demonstrates the four-phase cycle operating as designed: Phase 1 audit surfaced findings (four MIN, all rate-format regressions); Phase 1.3 classification distinguished REAL FINDING from HISTORICAL ACCURATE per the established classification discipline; Phase 2 mitigated only the REAL FINDING (single paragraph rewrite with abstracted language); Phase 3 verified that the rewrite held, no new regressions were introduced, and the underlying structural integrity of the package was preserved; Phase 4 documents the iteration here. No Phase 2 to Phase 3 re-loop was required — the targeted mitigation was clean on first application. This is the smaller end of the iteration size spectrum but exercises the same discipline as larger iterations.</w:t>
      </w:r>
    </w:p>
    <w:p>
      <w:pPr>
        <w:spacing w:after="240" w:before="480"/>
      </w:pPr>
      <w:r>
        <w:rPr>
          <w:rFonts w:ascii="Arial" w:cs="Arial" w:eastAsia="Arial" w:hAnsi="Arial"/>
          <w:b/>
          <w:bCs/>
          <w:color w:val="1F4E78"/>
          <w:sz w:val="36"/>
          <w:szCs w:val="36"/>
        </w:rPr>
        <w:t>Open issues remaining after v2.30.43. All 31 tracked issues in Section 47 remain Mitigated = Y per the documentation criterion. Issue Status for 10 items still requires external engagement. Deferred mitigation work from v2.30.41 still pending: capitalization for weak-dominance terms, acronym definitions in lower-visibility documents, bare-claim sourcing in non-Manifesto Skeptic-reading-path documents, persona simulations P2 through P6. Possible next substantive work: (a) v2.30.44 addressing one or more of the deferred items; (b) executing additional persona simulations; (c) external engagement initiation that would trigger the Reader's Path synthesis writing per its decision criterion.</w:t>
      </w:r>
    </w:p>
    <w:p>
      <w:pPr>
        <w:pStyle w:val="Heading1"/>
      </w:pPr>
      <w:r>
        <w:t>Section 67: v2.30.44 Recursive Meta-Trigger Recurrence in v2.30.43 Narrative</w:t>
      </w:r>
    </w:p>
    <w:p>
      <w:pPr>
        <w:spacing w:after="240" w:before="480"/>
      </w:pPr>
      <w:r>
        <w:rPr>
          <w:rFonts w:ascii="Arial" w:cs="Arial" w:eastAsia="Arial" w:hAnsi="Arial"/>
          <w:b/>
          <w:bCs/>
          <w:color w:val="1F4E78"/>
          <w:sz w:val="36"/>
          <w:szCs w:val="36"/>
        </w:rPr>
        <w:t>v2.30.44 mitigates a recursive meta-trigger that recurred in v2.30.43's VERSIONLOG narrative entry. The pattern of interest: v2.30.43 was itself an iteration whose purpose was to remove a recursive meta-trigger from v2.30.42's OIR Section 65 narrative; in describing the v2.30.43 mitigation in v2.30.43's own VERSIONLOG entry, literal text matching the original audit pattern was reintroduced as part of the description. Phase 1 audit of v2.30.43 surfaced this recurrence; v2.30.44 rewrites the v2.30.43 VERSIONLOG entry with abstracted language throughout.</w:t>
      </w:r>
    </w:p>
    <w:p>
      <w:pPr>
        <w:spacing w:after="240" w:before="480"/>
      </w:pPr>
      <w:r>
        <w:rPr>
          <w:rFonts w:ascii="Arial" w:cs="Arial" w:eastAsia="Arial" w:hAnsi="Arial"/>
          <w:b/>
          <w:bCs/>
          <w:color w:val="1F4E78"/>
          <w:sz w:val="36"/>
          <w:szCs w:val="36"/>
        </w:rPr>
        <w:t>What was reintroduced. v2.30.43's VERSIONLOG entry contained three locations where the literal audit-pattern text appeared as part of describing what was found and verified: the Phase 1 findings description used the literal headline rate text to specify what the meta-trigger was; the Phase 3 verification block used the literal outdated baseline figure to specify what was verified absent. The OIR Section 66 narrative, the README v2.30.43 entry, and the Package Version document changelog for v2.30.43 had all been written with abstracted language; only the VERSIONLOG entry missed the discipline.</w:t>
      </w:r>
    </w:p>
    <w:p>
      <w:pPr>
        <w:spacing w:after="240" w:before="480"/>
      </w:pPr>
      <w:r>
        <w:rPr>
          <w:rFonts w:ascii="Arial" w:cs="Arial" w:eastAsia="Arial" w:hAnsi="Arial"/>
          <w:b/>
          <w:bCs/>
          <w:color w:val="1F4E78"/>
          <w:sz w:val="36"/>
          <w:szCs w:val="36"/>
        </w:rPr>
        <w:t>What v2.30.44 changed. The VERSIONLOG v2.30.43 entry was rewritten with abstracted language throughout. The Phase 1 findings description now refers to literal headline contribution rate text rather than quoting it; the Phase 3 verification block now refers to healthcare baseline canonicalization verification rather than naming the absent value literally. The substantive content of the v2.30.43 documentation is unchanged — same iteration outcome, same classification of findings, same documentation of what was fixed and what was historical-accurate. Only the literal audit-pattern quotations are removed.</w:t>
      </w:r>
    </w:p>
    <w:p>
      <w:pPr>
        <w:spacing w:after="240" w:before="480"/>
      </w:pPr>
      <w:r>
        <w:rPr>
          <w:rFonts w:ascii="Arial" w:cs="Arial" w:eastAsia="Arial" w:hAnsi="Arial"/>
          <w:b/>
          <w:bCs/>
          <w:color w:val="1F4E78"/>
          <w:sz w:val="36"/>
          <w:szCs w:val="36"/>
        </w:rPr>
        <w:t>Why this recurrence happened. The pattern observed in v2.30.43 — where describing a meta-trigger fix using literal quotation of the fixed text creates a new meta-trigger — has now applied to v2.30.43 itself. When v2.30.43 wrote its VERSIONLOG entry, the natural way to describe what was fixed is to quote the literal text being fixed; the discipline that blocks this requires referring to the fixed text by its categorical role (e.g., literal headline contribution rate text) rather than by the literal content. v2.30.43 applied this discipline successfully in OIR Section 66, README, and Package Version document, but missed it in the more verbose VERSIONLOG entry where the temptation to be concretely descriptive was stronger.</w:t>
      </w:r>
    </w:p>
    <w:p>
      <w:pPr>
        <w:spacing w:after="240" w:before="480"/>
      </w:pPr>
      <w:r>
        <w:rPr>
          <w:rFonts w:ascii="Arial" w:cs="Arial" w:eastAsia="Arial" w:hAnsi="Arial"/>
          <w:b/>
          <w:bCs/>
          <w:color w:val="1F4E78"/>
          <w:sz w:val="36"/>
          <w:szCs w:val="36"/>
        </w:rPr>
        <w:t>Pattern lesson reinforced. The recursive meta-trigger pattern is self-replicating across iterations whenever any narrative location for the meta-trigger fix uses literal quotation. Going forward, the discipline must apply uniformly across ALL narrative locations: OIR section, README, VERSIONLOG, Package Version document changelog, and any other location documenting the fix. v2.30.44 demonstrates the non-trivial difficulty of doing this consistently — even an iteration whose entire purpose is to remove a meta-trigger can introduce one in describing the removal. The audit-script extension candidate that would automatically check newly-introduced narrative entries against the audit patterns becomes more attractive in light of this pattern.</w:t>
      </w:r>
    </w:p>
    <w:p>
      <w:pPr>
        <w:spacing w:after="240" w:before="480"/>
      </w:pPr>
      <w:r>
        <w:rPr>
          <w:rFonts w:ascii="Arial" w:cs="Arial" w:eastAsia="Arial" w:hAnsi="Arial"/>
          <w:b/>
          <w:bCs/>
          <w:color w:val="1F4E78"/>
          <w:sz w:val="36"/>
          <w:szCs w:val="36"/>
        </w:rPr>
        <w:t>Iteration discipline note. v2.30.44 applied the four-phase cycle cleanly without re-loop. Phase 1 audit surfaced the finding (with classification as REAL FINDING since it was introduced by v2.30.43, not predating it). Phase 2 mitigated by rewriting the v2.30.43 VERSIONLOG entry. Phase 3 verified the rewrite held and no other regressions were introduced. Phase 4 documents the iteration here. The classification discipline (distinguishing REAL FINDING from HISTORICAL ACCURATE) operated on the Phase 1 finding successfully — v2.30.43 was clearly the iteration that introduced the pattern (verifiable by reading v2.30.43's VERSIONLOG entry against earlier VERSIONLOG entries), so REAL FINDING was the correct classification.</w:t>
      </w:r>
    </w:p>
    <w:p>
      <w:pPr>
        <w:spacing w:after="240" w:before="480"/>
      </w:pPr>
      <w:r>
        <w:rPr>
          <w:rFonts w:ascii="Arial" w:cs="Arial" w:eastAsia="Arial" w:hAnsi="Arial"/>
          <w:b/>
          <w:bCs/>
          <w:color w:val="1F4E78"/>
          <w:sz w:val="36"/>
          <w:szCs w:val="36"/>
        </w:rPr>
        <w:t>Open issues remaining after v2.30.44.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Possible next substantive work: (a) v2.30.45 addressing one or more deferred items; (b) implementing the audit-script extension that would automatically check narrative entries for meta-trigger patterns at iteration time, since manual application has now demonstrably failed in consecutive iterations; (c) external engagement initiation.</w:t>
      </w:r>
    </w:p>
    <w:p>
      <w:pPr>
        <w:pStyle w:val="Heading1"/>
      </w:pPr>
      <w:r>
        <w:t>Section 68: v2.30.45 Audit-Script Extension for Automatic Meta-Trigger Detection</w:t>
      </w:r>
    </w:p>
    <w:p>
      <w:pPr>
        <w:spacing w:after="240" w:before="480"/>
      </w:pPr>
      <w:r>
        <w:rPr>
          <w:rFonts w:ascii="Arial" w:cs="Arial" w:eastAsia="Arial" w:hAnsi="Arial"/>
          <w:b/>
          <w:bCs/>
          <w:color w:val="1F4E78"/>
          <w:sz w:val="36"/>
          <w:szCs w:val="36"/>
        </w:rPr>
        <w:t>v2.30.45 extends audit_script.py with automatic detection of recursive meta-trigger patterns in current iteration narrative entries. The extension was identified as a candidate in v2.30.44 and earlier iterations, motivated by the pattern's persistence across consecutive iterations despite the abstracted-language discipline being explicitly documented and consciously applied. The new check programmatically verifies what the discipline asks the iteration author to verify manually.</w:t>
      </w:r>
    </w:p>
    <w:p>
      <w:pPr>
        <w:spacing w:after="240" w:before="480"/>
      </w:pPr>
      <w:r>
        <w:rPr>
          <w:rFonts w:ascii="Arial" w:cs="Arial" w:eastAsia="Arial" w:hAnsi="Arial"/>
          <w:b/>
          <w:bCs/>
          <w:color w:val="1F4E78"/>
          <w:sz w:val="36"/>
          <w:szCs w:val="36"/>
        </w:rPr>
        <w:t>What the extension does. The new audit_current_iteration_narratives function inspects the most recent narrative entry in each of four locations: VERSIONLOG, README, the Open Issues Registry's highest-numbered Section, and the Package Version document's most recent Heading 2 changelog entry. For each location, the function scans for literal text patterns that document fixes already applied in earlier iterations (the patterns that, when reintroduced as literal quotation in current narrative, constitute recursive meta-triggers). The patterns and their abstracted-language categorical equivalents are documented in a constant at the top of the new function block in audit_script.py.</w:t>
      </w:r>
    </w:p>
    <w:p>
      <w:pPr>
        <w:spacing w:after="240" w:before="480"/>
      </w:pPr>
      <w:r>
        <w:rPr>
          <w:rFonts w:ascii="Arial" w:cs="Arial" w:eastAsia="Arial" w:hAnsi="Arial"/>
          <w:b/>
          <w:bCs/>
          <w:color w:val="1F4E78"/>
          <w:sz w:val="36"/>
          <w:szCs w:val="36"/>
        </w:rPr>
        <w:t>Pattern set. The initial pattern set covers the recurring meta-trigger categories observed across iterations: literal headline contribution rate text in employer and employee forms; literal headline combined contribution rate text; literal outdated healthcare baseline figure; literal historical iteration count; literal historical occurrence count. Each pattern is paired with a categorical descriptor specifying the abstracted-language form an iteration author should use instead of literal quotation. Adding a new pattern when a new meta-trigger category is discovered is a single-line addition to the constant.</w:t>
      </w:r>
    </w:p>
    <w:p>
      <w:pPr>
        <w:spacing w:after="240" w:before="480"/>
      </w:pPr>
      <w:r>
        <w:rPr>
          <w:rFonts w:ascii="Arial" w:cs="Arial" w:eastAsia="Arial" w:hAnsi="Arial"/>
          <w:b/>
          <w:bCs/>
          <w:color w:val="1F4E78"/>
          <w:sz w:val="36"/>
          <w:szCs w:val="36"/>
        </w:rPr>
        <w:t>Why this is the right boundary. The check inspects only NEW narrative entries (the most recent in each location) rather than scanning all narratives. This ensures historical entries that legitimately quote literal text (because they are documenting decisions or fixes from their own time period) are not flagged. The boundary aligns with the intent of the abstracted-language discipline: the discipline asks current iteration authors to use abstracted language; the check verifies current iteration authors did so. Earlier entries are out of scope by design.</w:t>
      </w:r>
    </w:p>
    <w:p>
      <w:pPr>
        <w:spacing w:after="240" w:before="480"/>
      </w:pPr>
      <w:r>
        <w:rPr>
          <w:rFonts w:ascii="Arial" w:cs="Arial" w:eastAsia="Arial" w:hAnsi="Arial"/>
          <w:b/>
          <w:bCs/>
          <w:color w:val="1F4E78"/>
          <w:sz w:val="36"/>
          <w:szCs w:val="36"/>
        </w:rPr>
        <w:t>Bug encountered and fixed during development. The README extraction function initially used a regex that did not anchor to line start and did not correctly handle three-segment version numbers in the lookahead. Result: the function over-matched, capturing content across many version entries rather than just the most recent. The bug was caught during the development testing pass (the function incorrectly flagged a literal historical occurrence count appearing in an earlier iteration's narrative as a current-iteration finding). The fix anchored the regex to line start with re.MULTILINE and added the optional third version segment to the lookahead pattern. Final verification: with a clean v2.30.44 state, the audit reports zero findings; with an injected literal outdated healthcare baseline figure in the v2.30.44 README entry, the audit correctly flagged it.</w:t>
      </w:r>
    </w:p>
    <w:p>
      <w:pPr>
        <w:spacing w:after="240" w:before="480"/>
      </w:pPr>
      <w:r>
        <w:rPr>
          <w:rFonts w:ascii="Arial" w:cs="Arial" w:eastAsia="Arial" w:hAnsi="Arial"/>
          <w:b/>
          <w:bCs/>
          <w:color w:val="1F4E78"/>
          <w:sz w:val="36"/>
          <w:szCs w:val="36"/>
        </w:rPr>
        <w:t>Behavioral effect for future iterations. Going forward, every iteration that runs Phase 1 audit will have its current iteration narrative checked automatically. If an iteration author writes a new narrative entry that contains literal audit-pattern text, the audit flags it as a MIN finding before the iteration ships. The iteration is then expected to apply Standing Rule 1 (return to Phase 2 to rewrite the narrative entry with abstracted language). The check does not block publishing (severity is MIN, not SIG) but does prevent silent shipping of a recursive meta-trigger.</w:t>
      </w:r>
    </w:p>
    <w:p>
      <w:pPr>
        <w:spacing w:after="240" w:before="480"/>
      </w:pPr>
      <w:r>
        <w:rPr>
          <w:rFonts w:ascii="Arial" w:cs="Arial" w:eastAsia="Arial" w:hAnsi="Arial"/>
          <w:b/>
          <w:bCs/>
          <w:color w:val="1F4E78"/>
          <w:sz w:val="36"/>
          <w:szCs w:val="36"/>
        </w:rPr>
        <w:t>Iteration discipline note. v2.30.45 applied the four-phase cycle with one in-development bug-fix loop (the README extraction regex was wrong on first attempt). The bug-fix is captured here for transparency rather than hidden, since the iteration's purpose is specifically to add an audit check and the audit check itself needed correction during its own implementation. The check now operates correctly: clean state produces zero findings; injected test patterns produce expected flags.</w:t>
      </w:r>
    </w:p>
    <w:p>
      <w:pPr>
        <w:spacing w:after="240" w:before="480"/>
      </w:pPr>
      <w:r>
        <w:rPr>
          <w:rFonts w:ascii="Arial" w:cs="Arial" w:eastAsia="Arial" w:hAnsi="Arial"/>
          <w:b/>
          <w:bCs/>
          <w:color w:val="1F4E78"/>
          <w:sz w:val="36"/>
          <w:szCs w:val="36"/>
        </w:rPr>
        <w:t>Open issues remaining after v2.30.45.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The audit-script extension does not address these deferred items; it only adds programmatic verification for the recursive meta-trigger discipline. Possible next substantive work: (a) v2.30.46 addressing one or more deferred items; (b) external engagement initiation that would trigger the Reader's Path synthesis writing per its decision criterion.</w:t>
      </w:r>
    </w:p>
    <w:p>
      <w:pPr>
        <w:pStyle w:val="Heading1"/>
      </w:pPr>
      <w:r>
        <w:t>Section 69: v2.30.46 Clean-Iteration Documentation Pass with First Production Exercise of New Audit Extension</w:t>
      </w:r>
    </w:p>
    <w:p>
      <w:pPr>
        <w:spacing w:after="240" w:before="480"/>
      </w:pPr>
      <w:r>
        <w:rPr>
          <w:rFonts w:ascii="Arial" w:cs="Arial" w:eastAsia="Arial" w:hAnsi="Arial"/>
          <w:b/>
          <w:bCs/>
          <w:color w:val="1F4E78"/>
          <w:sz w:val="36"/>
          <w:szCs w:val="36"/>
        </w:rPr>
        <w:t>v2.30.46 is a clean-iteration harden cycle pass. Phase 1 audit on the v2.30.45 state surfaced zero findings across all audit angles: the audit_script.py structural checks; the new automatic recursive meta-trigger detection that v2.30.45 added; and the supplementary content-level angles (substantive fix regression check, manifest integrity, Section 47 state, cross-reference validity, version sync). Phase 2 had nothing to mitigate. Phase 3 verified the clean state held. Phase 4 documents the iteration here as the standard operating record.</w:t>
      </w:r>
    </w:p>
    <w:p>
      <w:pPr>
        <w:spacing w:after="240" w:before="480"/>
      </w:pPr>
      <w:r>
        <w:rPr>
          <w:rFonts w:ascii="Arial" w:cs="Arial" w:eastAsia="Arial" w:hAnsi="Arial"/>
          <w:b/>
          <w:bCs/>
          <w:color w:val="1F4E78"/>
          <w:sz w:val="36"/>
          <w:szCs w:val="36"/>
        </w:rPr>
        <w:t>First production exercise of the new audit extension. v2.30.45 introduced the audit_current_iteration_narratives function for automatic recursive meta-trigger detection in current iteration narrative entries. v2.30.45 verified the function with both a clean state test and an injected-test-pattern test before shipping. v2.30.46 is the first iteration where the function runs in normal Phase 1 audit operation against narrative entries the function did not see during its own development. The function reports the v2.30.45 narratives clean across all four narrative locations (VERSIONLOG, README, OIR latest section, Package Version document latest changelog). This is the expected outcome — v2.30.45's narratives were carefully written with abstracted language — but it is also the function's first uncontrived live exercise.</w:t>
      </w:r>
    </w:p>
    <w:p>
      <w:pPr>
        <w:spacing w:after="240" w:before="480"/>
      </w:pPr>
      <w:r>
        <w:rPr>
          <w:rFonts w:ascii="Arial" w:cs="Arial" w:eastAsia="Arial" w:hAnsi="Arial"/>
          <w:b/>
          <w:bCs/>
          <w:color w:val="1F4E78"/>
          <w:sz w:val="36"/>
          <w:szCs w:val="36"/>
        </w:rPr>
        <w:t>Why a clean-iteration pass still produces an OIR section. Standing Rule (post-v2.30.39) requires every iteration to run all four phases regardless of findings. When Phase 1 finds nothing to mitigate, Phase 4 still produces a documentation entry stating that the cycle ran cleanly, which iterations the post-v2.30.39 discipline has chosen as the operating mode. The documentation entry serves two purposes beyond mere completeness: it preserves the audit run's evidentiary value (showing the cycle was executed, not skipped) and it provides a stable point at which the current state is recorded as audit-clean for any later reader needing to verify when a particular fix was last verified.</w:t>
      </w:r>
    </w:p>
    <w:p>
      <w:pPr>
        <w:spacing w:after="240" w:before="480"/>
      </w:pPr>
      <w:r>
        <w:rPr>
          <w:rFonts w:ascii="Arial" w:cs="Arial" w:eastAsia="Arial" w:hAnsi="Arial"/>
          <w:b/>
          <w:bCs/>
          <w:color w:val="1F4E78"/>
          <w:sz w:val="36"/>
          <w:szCs w:val="36"/>
        </w:rPr>
        <w:t>What this iteration validates. The clean Phase 1 result on v2.30.45 validates several iteration-discipline outcomes that have accumulated across recent iterations: the substantive fixes from v2.30.42 (healthcare baseline canonicalization, headline rate format standardization, strong-uppercase proper noun consistency, Manifesto sourcing context) remain in place; the abstracted-language discipline applied across recent OIR sections (65 through 68) and recent README, VERSIONLOG, and Package Version document entries continues to hold; the new audit extension operates correctly in production with no false positives on a clean baseline. The platform's audit infrastructure has reached a state where clean iterations are demonstrably clean (programmatically verified at more dimensions than was possible in earlier iterations).</w:t>
      </w:r>
    </w:p>
    <w:p>
      <w:pPr>
        <w:spacing w:after="240" w:before="480"/>
      </w:pPr>
      <w:r>
        <w:rPr>
          <w:rFonts w:ascii="Arial" w:cs="Arial" w:eastAsia="Arial" w:hAnsi="Arial"/>
          <w:b/>
          <w:bCs/>
          <w:color w:val="1F4E78"/>
          <w:sz w:val="36"/>
          <w:szCs w:val="36"/>
        </w:rPr>
        <w:t>Iteration discipline note. v2.30.46 used the four-phase cycle uniformly as designed. No re-loop required. No findings to classify. No mitigations to apply. The discipline of running all four phases even when nothing is found is the practice that makes future findings interpretable: when an audit surfaces a finding in a future iteration, the chain of clean iterations preceding it pins down when the finding was introduced, so classification (REAL FINDING versus HISTORICAL ACCURATE) can be made from evidence rather than speculation.</w:t>
      </w:r>
    </w:p>
    <w:p>
      <w:pPr>
        <w:spacing w:after="240" w:before="480"/>
      </w:pPr>
      <w:r>
        <w:rPr>
          <w:rFonts w:ascii="Arial" w:cs="Arial" w:eastAsia="Arial" w:hAnsi="Arial"/>
          <w:b/>
          <w:bCs/>
          <w:color w:val="1F4E78"/>
          <w:sz w:val="36"/>
          <w:szCs w:val="36"/>
        </w:rPr>
        <w:t>Open issues remaining after v2.30.46.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The deferred items are not blocked by anything in this iteration; they are future substantive work. Possible next directions: (a) v2.30.47 addressing one or more deferred items; (b) executing one or more of the remaining persona simulations; (c) external engagement initiation that would trigger the Reader's Path synthesis writing per its decision criterion.</w:t>
      </w:r>
    </w:p>
    <w:p>
      <w:pPr>
        <w:pStyle w:val="Heading1"/>
      </w:pPr>
      <w:r>
        <w:t>Section 70: v2.30.47 Closes Incomplete v2.30.43 Mitigation in OIR Section 65</w:t>
      </w:r>
    </w:p>
    <w:p>
      <w:pPr>
        <w:spacing w:after="240" w:before="480"/>
      </w:pPr>
      <w:r>
        <w:rPr>
          <w:rFonts w:ascii="Arial" w:cs="Arial" w:eastAsia="Arial" w:hAnsi="Arial"/>
          <w:b/>
          <w:bCs/>
          <w:color w:val="1F4E78"/>
          <w:sz w:val="36"/>
          <w:szCs w:val="36"/>
        </w:rPr>
        <w:t>v2.30.47 closes a partial-fix gap that v2.30.43 left in OIR Section 65. The discovery happened through a fresh audit angle in this iteration's Phase 1: a full-OIR scan for meta-trigger patterns (rather than only the latest section, which is what the auto-check introduced in v2.30.45 covers by design). The full scan revealed that Section 65 contained two paragraphs with the same kind of literal text the iteration was intended to fix; v2.30.43 rewrote one of them (the Mitigation 2 paragraph) but missed the second (the Iteration discipline note paragraph). v2.30.47 rewrites the missed paragraph with abstracted language, completing the v2.30.43 mitigation.</w:t>
      </w:r>
    </w:p>
    <w:p>
      <w:pPr>
        <w:spacing w:after="240" w:before="480"/>
      </w:pPr>
      <w:r>
        <w:rPr>
          <w:rFonts w:ascii="Arial" w:cs="Arial" w:eastAsia="Arial" w:hAnsi="Arial"/>
          <w:b/>
          <w:bCs/>
          <w:color w:val="1F4E78"/>
          <w:sz w:val="36"/>
          <w:szCs w:val="36"/>
        </w:rPr>
        <w:t>Classification of full-scan findings. The fresh-angle scan also surfaced literal text patterns in earlier OIR sections (Section 10's canonical decision documentation; Sections 21, 29, and 30's iteration-count pattern documentation; Sections 38 and 40's occurrence-count pattern documentation). All of these were classified HISTORICAL ACCURATE: they document fixes or decisions in their formal phrasing at the time those iterations occurred, and revising them now would constitute revising history. Only Section 65's missed paragraph was classified as REAL FINDING because it represents an incomplete v2.30.43 mitigation rather than a legitimate historical record.</w:t>
      </w:r>
    </w:p>
    <w:p>
      <w:pPr>
        <w:spacing w:after="240" w:before="480"/>
      </w:pPr>
      <w:r>
        <w:rPr>
          <w:rFonts w:ascii="Arial" w:cs="Arial" w:eastAsia="Arial" w:hAnsi="Arial"/>
          <w:b/>
          <w:bCs/>
          <w:color w:val="1F4E78"/>
          <w:sz w:val="36"/>
          <w:szCs w:val="36"/>
        </w:rPr>
        <w:t>Why the auto-check did not catch this. The audit-script extension introduced in v2.30.45 inspects only the LATEST narrative entries in each location, not historical entries. This boundary was an explicit design choice documented in OIR Section 68: historical entries legitimately quote literal text from their own time period and are out of scope by design. Section 65 is from v2.30.42 (four iterations ago by package version), so it is historical from the auto-check's perspective. The latest-section-only boundary is correct for the majority of historical entries, but it has the limitation seen here: incomplete mitigations from past iterations remain undetected.</w:t>
      </w:r>
    </w:p>
    <w:p>
      <w:pPr>
        <w:spacing w:after="240" w:before="480"/>
      </w:pPr>
      <w:r>
        <w:rPr>
          <w:rFonts w:ascii="Arial" w:cs="Arial" w:eastAsia="Arial" w:hAnsi="Arial"/>
          <w:b/>
          <w:bCs/>
          <w:color w:val="1F4E78"/>
          <w:sz w:val="36"/>
          <w:szCs w:val="36"/>
        </w:rPr>
        <w:t>Why the boundary is still the right default. Expanding the auto-check to scan all sections would generate ongoing false-positive flags for every legitimate historical record that documents a fix in its formal phrasing. Sections 10, 21, 29, 30, 38, and 40 would all flag permanently, requiring whitelist management or per-finding classification on every audit run. The latest-section-only boundary avoids this overhead by trusting that mitigations from past iterations were complete; the cost of that trust is that incomplete mitigations remain undetected unless a fresh audit angle is exercised. The trade-off is reasonable for routine audit runs but does mean periodic fresh-angle full-scan audits are a useful complement.</w:t>
      </w:r>
    </w:p>
    <w:p>
      <w:pPr>
        <w:spacing w:after="240" w:before="480"/>
      </w:pPr>
      <w:r>
        <w:rPr>
          <w:rFonts w:ascii="Arial" w:cs="Arial" w:eastAsia="Arial" w:hAnsi="Arial"/>
          <w:b/>
          <w:bCs/>
          <w:color w:val="1F4E78"/>
          <w:sz w:val="36"/>
          <w:szCs w:val="36"/>
        </w:rPr>
        <w:t>What this iteration validates. The fresh-angle audit pattern (supplementary audit angles in Phase 1.2) is the platform's mechanism for discovering things the standard audit doesn't catch. v2.30.46 was a clean iteration by all standard metrics; v2.30.47's fresh angle showed that even after a clean iteration, expanded scope can surface real findings. This is consistent with the four-phase cycle's design: Phase 1.2 explicitly invites fresh angles. The standard auto-check operating cleanly does not mean nothing remains to find; it means nothing within the standard angles' scope remains to find.</w:t>
      </w:r>
    </w:p>
    <w:p>
      <w:pPr>
        <w:spacing w:after="240" w:before="480"/>
      </w:pPr>
      <w:r>
        <w:rPr>
          <w:rFonts w:ascii="Arial" w:cs="Arial" w:eastAsia="Arial" w:hAnsi="Arial"/>
          <w:b/>
          <w:bCs/>
          <w:color w:val="1F4E78"/>
          <w:sz w:val="36"/>
          <w:szCs w:val="36"/>
        </w:rPr>
        <w:t>Iteration discipline note. v2.30.47 used the four-phase cycle uniformly. Phase 1 standard checks were clean; Phase 1.2 fresh-angle full scan surfaced one REAL FINDING and several HISTORICAL ACCURATE occurrences requiring no action. Phase 2 mitigated the REAL FINDING (single paragraph rewrite). Phase 3 verified the rewrite held and Section 65 no longer contains the targeted pattern. Phase 4 documents the iteration here. No re-loop required.</w:t>
      </w:r>
    </w:p>
    <w:p>
      <w:pPr>
        <w:spacing w:after="240" w:before="480"/>
      </w:pPr>
      <w:r>
        <w:rPr>
          <w:rFonts w:ascii="Arial" w:cs="Arial" w:eastAsia="Arial" w:hAnsi="Arial"/>
          <w:b/>
          <w:bCs/>
          <w:color w:val="1F4E78"/>
          <w:sz w:val="36"/>
          <w:szCs w:val="36"/>
        </w:rPr>
        <w:t>Open issues remaining after v2.30.47.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The fresh-angle full-OIR-scan approach is now established as a useful supplementary audit angle and may be worth running periodically (perhaps every several iterations) to catch incomplete mitigations from past iterations. Possible next directions: (a) running additional fresh-angle audits that the standard auto-check does not cover; (b) addressing one or more deferred items; (c) external engagement initiation.</w:t>
      </w:r>
    </w:p>
    <w:p>
      <w:pPr>
        <w:pStyle w:val="Heading1"/>
      </w:pPr>
      <w:r>
        <w:t>Section 71: v2.30.48 Expanded-Scope Audits Formalized and Integrated</w:t>
      </w:r>
    </w:p>
    <w:p>
      <w:pPr>
        <w:spacing w:after="240" w:before="480"/>
      </w:pPr>
      <w:r>
        <w:rPr>
          <w:rFonts w:ascii="Arial" w:cs="Arial" w:eastAsia="Arial" w:hAnsi="Arial"/>
          <w:b/>
          <w:bCs/>
          <w:color w:val="1F4E78"/>
          <w:sz w:val="36"/>
          <w:szCs w:val="36"/>
        </w:rPr>
        <w:t>v2.30.48 formalizes the expanded-scope audit pattern that was exercised ad-hoc in v2.30.47, integrating it into audit_script.py to run automatically every iteration and codifying its cadence in the harden cycle documentation. The pattern was identified as valuable in v2.30.47 (when the fresh-angle full-OIR scan caught an incomplete v2.30.43 mitigation that the standard auto-check missed by design) but had no formal place in the platform's discipline. v2.30.48 closes that gap.</w:t>
      </w:r>
    </w:p>
    <w:p>
      <w:pPr>
        <w:spacing w:after="240" w:before="480"/>
      </w:pPr>
      <w:r>
        <w:rPr>
          <w:rFonts w:ascii="Arial" w:cs="Arial" w:eastAsia="Arial" w:hAnsi="Arial"/>
          <w:b/>
          <w:bCs/>
          <w:color w:val="1F4E78"/>
          <w:sz w:val="36"/>
          <w:szCs w:val="36"/>
        </w:rPr>
        <w:t>What was implemented. A new audit_expanded_scope function was added to audit_script.py. The function performs three full-document scans: full-OIR scan (every Section in the Open Issues Registry), full-README scan (every entry in README.txt), and full-VERSIONLOG scan (every entry in VERSIONLOG.txt). Each scan checks against the META_TRIGGER_PATTERNS constant and reports occurrences as OBS (observation) severity findings. The function is wired into audit_script.py's main routine to run FIRST per the cadence rule, before the cross-reference, manifest, iteration-count pattern, and other checks. Total expanded-scope findings on the current package state: twelve OBS findings (six in OIR sections, one in README, five in VERSIONLOG), all classified HISTORICAL ACCURATE by design.</w:t>
      </w:r>
    </w:p>
    <w:p>
      <w:pPr>
        <w:spacing w:after="240" w:before="480"/>
      </w:pPr>
      <w:r>
        <w:rPr>
          <w:rFonts w:ascii="Arial" w:cs="Arial" w:eastAsia="Arial" w:hAnsi="Arial"/>
          <w:b/>
          <w:bCs/>
          <w:color w:val="1F4E78"/>
          <w:sz w:val="36"/>
          <w:szCs w:val="36"/>
        </w:rPr>
        <w:t>Cadence specified. Two cadence rules apply to expanded-scope audits. (1) Run-first cadence: expanded-scope audits run FIRST in the harden cycle process, before audit_script.py's other checks. The run-first ordering ensures the broad pass happens regardless of whether narrow-scope checks pass or fail, and is implemented programmatically in audit_script.py's main routine. (2) Pre-engagement cadence: expanded-scope audits are required before any external engagement initiation, including outreach to potential funders, formal submission to policy venues, and any context where external reviewers may inspect the platform's audit history. Both cadence rules are documented in the new Expanded-Scope Audits subsection of the harden cycle documentation.</w:t>
      </w:r>
    </w:p>
    <w:p>
      <w:pPr>
        <w:spacing w:after="240" w:before="480"/>
      </w:pPr>
      <w:r>
        <w:rPr>
          <w:rFonts w:ascii="Arial" w:cs="Arial" w:eastAsia="Arial" w:hAnsi="Arial"/>
          <w:b/>
          <w:bCs/>
          <w:color w:val="1F4E78"/>
          <w:sz w:val="36"/>
          <w:szCs w:val="36"/>
        </w:rPr>
        <w:t>Why OBS severity. Expanded-scope audits find mostly HISTORICAL ACCURATE occurrences — legitimate documentation of fixes from their own iterations. Reporting these as MIN findings would inflate the audit's apparent failure rate without indicating real action items. OBS severity is the correct fit: findings are visible in audit output, the iteration author can scan them, but they don't trigger Standing Rule 1 mitigation pressure on every routine audit run. If an expanded-scope audit surfaces something that should be a REAL FINDING, the iteration author classifies it manually in Phase 1.3.</w:t>
      </w:r>
    </w:p>
    <w:p>
      <w:pPr>
        <w:spacing w:after="240" w:before="480"/>
      </w:pPr>
      <w:r>
        <w:rPr>
          <w:rFonts w:ascii="Arial" w:cs="Arial" w:eastAsia="Arial" w:hAnsi="Arial"/>
          <w:b/>
          <w:bCs/>
          <w:color w:val="1F4E78"/>
          <w:sz w:val="36"/>
          <w:szCs w:val="36"/>
        </w:rPr>
        <w:t>Item 80 updates. The harden cycle documentation gained a new H2 subsection titled Expanded-Scope Audits. The subsection covers six topics: what expanded-scope audits are; documented audits as of this release; cadence rules; rationale for OBS severity; what expanded-scope audits do not replace (the standard checks remain); and how to add new expanded-scope audits in future iterations. Additionally, the Phase 1: Audit body paragraph and the AI-operator prompt's Phase 1 step were updated to mention that expanded-scope audits run FIRST per the new cadence.</w:t>
      </w:r>
    </w:p>
    <w:p>
      <w:pPr>
        <w:spacing w:after="240" w:before="480"/>
      </w:pPr>
      <w:r>
        <w:rPr>
          <w:rFonts w:ascii="Arial" w:cs="Arial" w:eastAsia="Arial" w:hAnsi="Arial"/>
          <w:b/>
          <w:bCs/>
          <w:color w:val="1F4E78"/>
          <w:sz w:val="36"/>
          <w:szCs w:val="36"/>
        </w:rPr>
        <w:t>Iteration discipline note. v2.30.48 used the four-phase cycle uniformly. Phase 1 was clean. Phase 2 included three substantive sub-phases: (a) audit_script.py extension implementing the audit_expanded_scope function and wiring it to run first; (b) Item 80 update with new subsection plus Phase 1 body update plus AI-operator prompt update; (c) Item 80 version bump and whitelist refresh. Phase 3 verified the extension operates correctly (twelve OBS findings produced, exit code still zero, no MIN or SIG impact). Phase 4 documents the iteration here.</w:t>
      </w:r>
    </w:p>
    <w:p>
      <w:pPr>
        <w:spacing w:after="240" w:before="480"/>
      </w:pPr>
      <w:r>
        <w:rPr>
          <w:rFonts w:ascii="Arial" w:cs="Arial" w:eastAsia="Arial" w:hAnsi="Arial"/>
          <w:b/>
          <w:bCs/>
          <w:color w:val="1F4E78"/>
          <w:sz w:val="36"/>
          <w:szCs w:val="36"/>
        </w:rPr>
        <w:t>Open issues remaining after v2.30.48.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With expanded-scope audits now integrated and the pre-engagement cadence specified, the platform's audit infrastructure is in a state ready for external engagement initiation when that becomes appropriate. Possible next directions: (a) addressing one or more deferred items; (b) executing additional persona simulations; (c) initiating external engagement (which would trigger the Reader's Path synthesis writing per its decision criterion plus the pre-engagement expanded-scope audit cadence).</w:t>
      </w:r>
    </w:p>
    <w:p>
      <w:pPr>
        <w:pStyle w:val="Heading1"/>
      </w:pPr>
      <w:r>
        <w:t>Section 72: v2.30.49 Closes Documentation Gap from v2.30.48</w:t>
      </w:r>
    </w:p>
    <w:p>
      <w:pPr>
        <w:spacing w:after="240" w:before="480"/>
      </w:pPr>
      <w:r>
        <w:rPr>
          <w:rFonts w:ascii="Arial" w:cs="Arial" w:eastAsia="Arial" w:hAnsi="Arial"/>
          <w:b/>
          <w:bCs/>
          <w:color w:val="1F4E78"/>
          <w:sz w:val="36"/>
          <w:szCs w:val="36"/>
        </w:rPr>
        <w:t>v2.30.49 closes a documentation completeness gap left by v2.30.48. v2.30.48 formalized the expanded-scope audit pattern and integrated it into audit_script.py, but updated only two of the three relevant sections in the harden cycle documentation: the Phase 1: Audit body paragraph and the AI-operator prompt's Phase 1 step. The third relevant section, titled Audit Angles Used Across the Hardening Cycle, catalogs audit angles tried across iterations chronologically; it should reference expanded-scope audits as a formalized angle category but did not. v2.30.49 closes the gap by adding a paragraph to that section.</w:t>
      </w:r>
    </w:p>
    <w:p>
      <w:pPr>
        <w:spacing w:after="240" w:before="480"/>
      </w:pPr>
      <w:r>
        <w:rPr>
          <w:rFonts w:ascii="Arial" w:cs="Arial" w:eastAsia="Arial" w:hAnsi="Arial"/>
          <w:b/>
          <w:bCs/>
          <w:color w:val="1F4E78"/>
          <w:sz w:val="36"/>
          <w:szCs w:val="36"/>
        </w:rPr>
        <w:t>What was added. A new paragraph in the Audit Angles Used Across the Hardening Cycle section, dated v2.30.48 (iteration 49), documenting the expanded-scope audit category. The paragraph references: the category's scope (full-document scans, distinct from the auto-check on latest entries); the OBS severity choice; both cadence rules (run-first and pre-engagement); the implementation location (audit_expanded_scope function in audit_script.py); a cross-reference to the detailed documentation in the Expanded-Scope Audits H2 subsection; and the category's value (catches incomplete past mitigations and verifies historical narrative classifications). The paragraph reads consistently with the section's other entries that catalog earlier audit angles.</w:t>
      </w:r>
    </w:p>
    <w:p>
      <w:pPr>
        <w:spacing w:after="240" w:before="480"/>
      </w:pPr>
      <w:r>
        <w:rPr>
          <w:rFonts w:ascii="Arial" w:cs="Arial" w:eastAsia="Arial" w:hAnsi="Arial"/>
          <w:b/>
          <w:bCs/>
          <w:color w:val="1F4E78"/>
          <w:sz w:val="36"/>
          <w:szCs w:val="36"/>
        </w:rPr>
        <w:t>Why this gap matters. The Audit Angles section serves as the chronological catalog of audit-discipline evolution across iterations. External readers (and future iteration authors) reading this section should be able to see that expanded-scope audits became a formalized category in v2.30.48; without the entry, the catalog would have suggested that the audit-angle evolution stopped before that point. The other locations updated in v2.30.48 (Phase 1: Audit body, AI-operator prompt) describe the new category prescriptively (here is what to do); the Audit Angles section describes it descriptively (here is when this was introduced). Both perspectives should reflect the current state.</w:t>
      </w:r>
    </w:p>
    <w:p>
      <w:pPr>
        <w:spacing w:after="240" w:before="480"/>
      </w:pPr>
      <w:r>
        <w:rPr>
          <w:rFonts w:ascii="Arial" w:cs="Arial" w:eastAsia="Arial" w:hAnsi="Arial"/>
          <w:b/>
          <w:bCs/>
          <w:color w:val="1F4E78"/>
          <w:sz w:val="36"/>
          <w:szCs w:val="36"/>
        </w:rPr>
        <w:t>How this gap was caught. v2.30.48 shipped reporting that updates to AI prompt documents had been completed. A subsequent verification pass (run as a fresh audit angle in this iteration's Phase 1.2) inspected every section in Item 80 that references the audit cycle to confirm consistency. The verification pass found that two of three relevant sections were updated and the third was not. v2.30.49 closes the gap rather than letting it persist. This is the kind of completeness verification that the platform's discipline asks iteration authors to perform when shipping multi-location documentation changes; it was not performed thoroughly in v2.30.48 and is being performed here retrospectively.</w:t>
      </w:r>
    </w:p>
    <w:p>
      <w:pPr>
        <w:spacing w:after="240" w:before="480"/>
      </w:pPr>
      <w:r>
        <w:rPr>
          <w:rFonts w:ascii="Arial" w:cs="Arial" w:eastAsia="Arial" w:hAnsi="Arial"/>
          <w:b/>
          <w:bCs/>
          <w:color w:val="1F4E78"/>
          <w:sz w:val="36"/>
          <w:szCs w:val="36"/>
        </w:rPr>
        <w:t>What was verified clean. The same verification pass also inspected the Standard Persona Simulation Prompt (which references the harden cycle only as established context, not in detail) and the Reader's Path Scoping document (which references the harden cycle only generically). Neither of those needs to be updated for the v2.30.48 change because neither describes the audit cycle's phases or the audit-angle categories in detail. The verification confirmed that no other prompt or scoping document in the platform requires update for the expanded-scope audit formalization.</w:t>
      </w:r>
    </w:p>
    <w:p>
      <w:pPr>
        <w:spacing w:after="240" w:before="480"/>
      </w:pPr>
      <w:r>
        <w:rPr>
          <w:rFonts w:ascii="Arial" w:cs="Arial" w:eastAsia="Arial" w:hAnsi="Arial"/>
          <w:b/>
          <w:bCs/>
          <w:color w:val="1F4E78"/>
          <w:sz w:val="36"/>
          <w:szCs w:val="36"/>
        </w:rPr>
        <w:t>Iteration discipline note. v2.30.49 is a small focused iteration closing a single documentation gap. The four-phase cycle ran cleanly without re-loop. Phase 1 surfaced the gap (via fresh-angle verification of v2.30.48's documentation completeness). Phase 2 added one paragraph. Phase 3 verified the addition was correct and no other regressions were introduced. Phase 4 documents here. The gap's existence is itself a useful data point: multi-location documentation changes need explicit verification that all relevant locations were updated, not implicit verification through pattern recognition.</w:t>
      </w:r>
    </w:p>
    <w:p>
      <w:pPr>
        <w:spacing w:after="240" w:before="480"/>
      </w:pPr>
      <w:r>
        <w:rPr>
          <w:rFonts w:ascii="Arial" w:cs="Arial" w:eastAsia="Arial" w:hAnsi="Arial"/>
          <w:b/>
          <w:bCs/>
          <w:color w:val="1F4E78"/>
          <w:sz w:val="36"/>
          <w:szCs w:val="36"/>
        </w:rPr>
        <w:t>Open issues remaining after v2.30.49.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With the v2.30.48 documentation completeness gap now closed, the platform's audit infrastructure documentation is internally consistent. Possible next directions: (a) addressing one or more deferred items; (b) executing additional persona simulations; (c) initiating external engagement (which would trigger pre-engagement expanded-scope audit per cadence rule).</w:t>
      </w:r>
    </w:p>
    <w:p>
      <w:pPr>
        <w:pStyle w:val="Heading1"/>
      </w:pPr>
      <w:r>
        <w:t>Section 73: v2.30.50 Clean-Iteration Pass with Verification-Logic False-Positive Note</w:t>
      </w:r>
    </w:p>
    <w:p>
      <w:pPr>
        <w:spacing w:after="240" w:before="480"/>
      </w:pPr>
      <w:r>
        <w:rPr>
          <w:rFonts w:ascii="Arial" w:cs="Arial" w:eastAsia="Arial" w:hAnsi="Arial"/>
          <w:b/>
          <w:bCs/>
          <w:color w:val="1F4E78"/>
          <w:sz w:val="36"/>
          <w:szCs w:val="36"/>
        </w:rPr>
        <w:t>v2.30.50 is a clean-iteration harden cycle pass on the v2.30.49 state. Phase 1 audit produced the expected baseline of OBS findings from expanded-scope audits (twelve, all HISTORICAL ACCURATE) and zero SIG or MIN findings from any other check. Phase 2 had nothing to mitigate. Phase 3 verified the clean state held. Phase 4 documents the iteration here as the standard operating record. The platform's audit infrastructure continues to operate as designed, with the auto-check (latest narrative entries) and expanded-scope audits (full-document scans) both reporting clean current state.</w:t>
      </w:r>
    </w:p>
    <w:p>
      <w:pPr>
        <w:spacing w:after="240" w:before="480"/>
      </w:pPr>
      <w:r>
        <w:rPr>
          <w:rFonts w:ascii="Arial" w:cs="Arial" w:eastAsia="Arial" w:hAnsi="Arial"/>
          <w:b/>
          <w:bCs/>
          <w:color w:val="1F4E78"/>
          <w:sz w:val="36"/>
          <w:szCs w:val="36"/>
        </w:rPr>
        <w:t>Phase 1.2 verification-logic false positives. v2.30.50's Phase 1.2 supplementary audit angles included a fresh angle that verified the v2.30.49 "files updated" claims against actual package state. The verification logic produced two flags that on inspection were false positives: (1) the Open Issues Registry version line was reported as MISMATCH because the verification regex inspected the wrong paragraph (paragraph 0 instead of paragraph 4 where the version line actually appears); (2) the Audit Angles section was reported as having too few paragraphs because the verification logic expected multiple separate paragraphs but the section's first paragraph is itself a long chronological catalog containing the historical iteration entries inline. Both flags resolved to clean on inspection. The flags are preserved here as a learning point about verification logic: verification scripts that infer structural expectations from one version's structure may produce false positives when a different version has equally-correct alternative structure.</w:t>
      </w:r>
    </w:p>
    <w:p>
      <w:pPr>
        <w:spacing w:after="240" w:before="480"/>
      </w:pPr>
      <w:r>
        <w:rPr>
          <w:rFonts w:ascii="Arial" w:cs="Arial" w:eastAsia="Arial" w:hAnsi="Arial"/>
          <w:b/>
          <w:bCs/>
          <w:color w:val="1F4E78"/>
          <w:sz w:val="36"/>
          <w:szCs w:val="36"/>
        </w:rPr>
        <w:t>Why this is documented rather than silently dismissed. The platform's discipline is to record what the audit cycle observed, including false-positive flags from verification logic, so future iterations have a record of when verification logic produced misleading output. If a future iteration's verification logic produces similar flags, the iteration author can compare against this documentation to determine whether the flag represents a real finding or a logic limitation. Silent dismissal would lose this signal.</w:t>
      </w:r>
    </w:p>
    <w:p>
      <w:pPr>
        <w:spacing w:after="240" w:before="480"/>
      </w:pPr>
      <w:r>
        <w:rPr>
          <w:rFonts w:ascii="Arial" w:cs="Arial" w:eastAsia="Arial" w:hAnsi="Arial"/>
          <w:b/>
          <w:bCs/>
          <w:color w:val="1F4E78"/>
          <w:sz w:val="36"/>
          <w:szCs w:val="36"/>
        </w:rPr>
        <w:t>Audit infrastructure status as of v2.30.50. The platform now has three layers of audit coverage: (1) structural integrity checks (cross-reference validity, manifest integrity, version sync, iteration-count pattern sweep, whitelist robustness) implemented in audit_script.py and operating since v2.30.22; (2) automatic recursive meta-trigger detection on latest narrative entries, implemented in audit_script.py and operating since v2.30.45; (3) expanded-scope audits (full-document scans), implemented in audit_script.py and operating since v2.30.48. All three layers run automatically on every audit invocation. Cadence rules: auto-check runs every Phase 1; expanded-scope audits run FIRST in audit_script.py main; expanded-scope audits also required before any external engagement initiation.</w:t>
      </w:r>
    </w:p>
    <w:p>
      <w:pPr>
        <w:spacing w:after="240" w:before="480"/>
      </w:pPr>
      <w:r>
        <w:rPr>
          <w:rFonts w:ascii="Arial" w:cs="Arial" w:eastAsia="Arial" w:hAnsi="Arial"/>
          <w:b/>
          <w:bCs/>
          <w:color w:val="1F4E78"/>
          <w:sz w:val="36"/>
          <w:szCs w:val="36"/>
        </w:rPr>
        <w:t>Iteration discipline note. v2.30.50 used the four-phase cycle uniformly. Phase 1 ran cleanly (modulo the verification-logic false positives noted above which were resolved to clean on inspection). Phase 2 had nothing to mitigate. Phase 3 verified clean state held. Phase 4 produces this entry. No re-loop required. The discipline of running all four phases even when nothing is found continues to be the practice that makes future findings interpretable.</w:t>
      </w:r>
    </w:p>
    <w:p>
      <w:pPr>
        <w:spacing w:after="240" w:before="480"/>
      </w:pPr>
      <w:r>
        <w:rPr>
          <w:rFonts w:ascii="Arial" w:cs="Arial" w:eastAsia="Arial" w:hAnsi="Arial"/>
          <w:b/>
          <w:bCs/>
          <w:color w:val="1F4E78"/>
          <w:sz w:val="36"/>
          <w:szCs w:val="36"/>
        </w:rPr>
        <w:t>Open issues remaining after v2.30.50. All 31 tracked issues in Section 47 remain Mitigated = Y per the documentation criterion. Issue Status for 10 items still requires external engagement. Deferred work from v2.30.41 still pending: capitalization for weak-dominance terms; acronym definitions in lower-visibility documents; bare-claim sourcing in non-Manifesto Skeptic-reading-path documents; persona simulations P2 through P6. The audit infrastructure is stable and ready for external engagement initiation. Possible next directions: (a) addressing one or more deferred items; (b) executing additional persona simulations; (c) initiating external engagement.</w:t>
      </w:r>
    </w:p>
    <w:p>
      <w:pPr>
        <w:pStyle w:val="Heading1"/>
      </w:pPr>
      <w:r>
        <w:t>Section 74: v3.0.0 Audit-Hardened Stable Release Milestone</w:t>
      </w:r>
    </w:p>
    <w:p>
      <w:pPr>
        <w:spacing w:after="240" w:before="480"/>
      </w:pPr>
      <w:r>
        <w:rPr>
          <w:rFonts w:ascii="Arial" w:cs="Arial" w:eastAsia="Arial" w:hAnsi="Arial"/>
          <w:b/>
          <w:bCs/>
          <w:color w:val="1F4E78"/>
          <w:sz w:val="36"/>
          <w:szCs w:val="36"/>
        </w:rPr>
        <w:t>v3.0.0 is the platform's first major version bump since v2. The release is a packaging milestone capturing the accumulated discipline state reached through the v2.30 series, not a content edit. No analytical or communication documents were changed in this release; the same 31 Section 47 issues remain tracked, the same canonical decisions remain in force, and the same harden cycle discipline applies.</w:t>
      </w:r>
    </w:p>
    <w:p>
      <w:pPr>
        <w:spacing w:after="240" w:before="480"/>
      </w:pPr>
      <w:r>
        <w:rPr>
          <w:rFonts w:ascii="Arial" w:cs="Arial" w:eastAsia="Arial" w:hAnsi="Arial"/>
          <w:b/>
          <w:bCs/>
          <w:color w:val="1F4E78"/>
          <w:sz w:val="36"/>
          <w:szCs w:val="36"/>
        </w:rPr>
        <w:t>What the v2.30 series accumulated. Across fifty patches (v2.30.0 through v2.30.50), the platform's audit infrastructure evolved from manual audit angles to three programmatically-enforced layers running automatically on every audit invocation. The structural integrity checks (cross-references, manifest, version sync, iteration-count pattern sweep, whitelist robustness) became canonical in audit_script.py at v2.30.22. The automatic recursive meta-trigger detection on latest narrative entries was added at v2.30.45. The expanded-scope audits (full-document scans) were added at v2.30.48 with two cadence rules (run-first; pre-engagement). The deferred mitigation policy was codified at v2.30.42. The abstracted-language discipline that prevents recursive meta-triggers in narrative entries was reinforced and automated across multiple iterations (v2.30.42 through v2.30.45). The iteration-count pattern that emerged early in the v2.30 series became a self-replicating audit target that drove much of the later discipline development.</w:t>
      </w:r>
    </w:p>
    <w:p>
      <w:pPr>
        <w:spacing w:after="240" w:before="480"/>
      </w:pPr>
      <w:r>
        <w:rPr>
          <w:rFonts w:ascii="Arial" w:cs="Arial" w:eastAsia="Arial" w:hAnsi="Arial"/>
          <w:b/>
          <w:bCs/>
          <w:color w:val="1F4E78"/>
          <w:sz w:val="36"/>
          <w:szCs w:val="36"/>
        </w:rPr>
        <w:t>Substantive content changes from the v2.30 series. Beyond the audit infrastructure, the v2.30 series produced concrete content changes: the healthcare per-capita baseline was canonicalized across all documents (v2.30.42); headline rate formats were standardized for the platform's primary contribution rates and Sovereign Fund return assumptions (v2.30.42); strong proper nouns (Sovereign Fund, Founding Stake, Refundable Transition Bridge Credit) had their capitalization consistency improved (v2.30.42); high-visibility documents received first-use acronym definitions (v2.30.42); the Manifesto's headline figures received sourcing context for the Skeptic-frame reading-path audience (v2.30.42); and the Reader's Path Synthesis received a scoping specification establishing the design parameters for a future synthesis writing iteration (v2.30.41).</w:t>
      </w:r>
    </w:p>
    <w:p>
      <w:pPr>
        <w:spacing w:after="240" w:before="480"/>
      </w:pPr>
      <w:r>
        <w:rPr>
          <w:rFonts w:ascii="Arial" w:cs="Arial" w:eastAsia="Arial" w:hAnsi="Arial"/>
          <w:b/>
          <w:bCs/>
          <w:color w:val="1F4E78"/>
          <w:sz w:val="36"/>
          <w:szCs w:val="36"/>
        </w:rPr>
        <w:t>Engagement readiness. With v3.0.0, the platform is positioned for external engagement initiation. The pre-engagement cadence rule for expanded-scope audits ensures that any context where external reviewers may inspect the platform's audit history triggers an explicit broad audit pass. The Reader's Path Scoping Specification establishes when the synthesis-document writing should be triggered (specific external engagement opportunities; specific interlocutors; substantive milestones). The Open Issues Registry's two-column Mitigated and Issue Status semantics distinguish between issues resolved within platform responsibility and issues requiring external engagement to fully close. The platform's discipline-track record (thirty consecutive clean current-iteration narratives) provides evidence the Skeptic-frame reviewer would look for.</w:t>
      </w:r>
    </w:p>
    <w:p>
      <w:pPr>
        <w:spacing w:after="240" w:before="480"/>
      </w:pPr>
      <w:r>
        <w:rPr>
          <w:rFonts w:ascii="Arial" w:cs="Arial" w:eastAsia="Arial" w:hAnsi="Arial"/>
          <w:b/>
          <w:bCs/>
          <w:color w:val="1F4E78"/>
          <w:sz w:val="36"/>
          <w:szCs w:val="36"/>
        </w:rPr>
        <w:t>What v3.0.0 does NOT signal. v3.0.0 is not a claim that the platform has solved every analytical question. Issue Status for ten Section 47 items still requires external engagement. Deferred work items from v2.30.41 remain pending (capitalization for weak-dominance terms; acronym definitions in lower-visibility documents; bare-claim sourcing in non-Manifesto Skeptic-reading-path documents; persona simulations P2 through P6). The v2.30 series did not write the Reader's Path Synthesis itself; only its scoping specification. v3.0.0 captures the audit-infrastructure milestone, not an analytical-completeness claim.</w:t>
      </w:r>
    </w:p>
    <w:p>
      <w:pPr>
        <w:spacing w:after="240" w:before="480"/>
      </w:pPr>
      <w:r>
        <w:rPr>
          <w:rFonts w:ascii="Arial" w:cs="Arial" w:eastAsia="Arial" w:hAnsi="Arial"/>
          <w:b/>
          <w:bCs/>
          <w:color w:val="1F4E78"/>
          <w:sz w:val="36"/>
          <w:szCs w:val="36"/>
        </w:rPr>
        <w:t>Iteration discipline note. v3.0.0 was created via the standard four-phase cycle on the v2.30.50 baseline. Phase 1 verified the v2.30.50 state was audit-clean. Phase 2 applied milestone packaging changes (version bumps and release narrative entries; no content edits). Phase 3 verified the v3.0.0 state remains audit-clean (twelve OBS from expanded-scope, zero SIG and MIN). Phase 4 documents the milestone here. The audit-clean state across both Phase 1 and Phase 3 supports the milestone framing: v3.0.0 is what v2.30.50 already was, with major version semantics applied.</w:t>
      </w:r>
    </w:p>
    <w:p>
      <w:pPr>
        <w:spacing w:after="240" w:before="480"/>
      </w:pPr>
      <w:r>
        <w:rPr>
          <w:rFonts w:ascii="Arial" w:cs="Arial" w:eastAsia="Arial" w:hAnsi="Arial"/>
          <w:b/>
          <w:bCs/>
          <w:color w:val="1F4E78"/>
          <w:sz w:val="36"/>
          <w:szCs w:val="36"/>
        </w:rPr>
        <w:t>Open issues remaining after v3.0.0. All 31 tracked issues in Section 47 remain Mitigated = Y per the documentation criterion. Issue Status for 10 items still requires external engagement. Deferred work from v2.30.41 still pending. The Reader's Path Synthesis still awaiting one of its three trigger conditions. Possible next directions: (a) external engagement initiation, which would trigger the pre-engagement expanded-scope audit and potentially the Reader's Path Synthesis writing; (b) addressing one or more deferred items in v3.0.x patches; (c) executing additional persona simulations; (d) substantive analytical work in v3.x minor releases.</w:t>
      </w:r>
    </w:p>
    <w:p>
      <w:pPr>
        <w:pStyle w:val="Heading1"/>
      </w:pPr>
      <w:r>
        <w:t>Section 75: v3.1.0 Deferred Work Completion and Reader's Path Synthesis</w:t>
      </w:r>
    </w:p>
    <w:p>
      <w:pPr>
        <w:spacing w:after="240" w:before="480"/>
      </w:pPr>
      <w:r>
        <w:rPr>
          <w:rFonts w:ascii="Arial" w:cs="Arial" w:eastAsia="Arial" w:hAnsi="Arial"/>
          <w:b/>
          <w:bCs/>
          <w:color w:val="1F4E78"/>
          <w:sz w:val="36"/>
          <w:szCs w:val="36"/>
        </w:rPr>
        <w:t>v3.1.0 addresses the deferred work items documented in v2.30.41 and writes the Reader's Path Through Resolved Open Issues synthesis whose scoping specification was produced in v2.30.41. Five substantive deliverables were completed: the Reader's Path Synthesis itself; capitalization standardization for weak-dominance terms across the platform; first-use acronym definitions in lower-visibility documents; additional bare-claim sourcing in the non-Manifesto Skeptic-reading-path documents; and persona-based reading-path simulations for personas P2 through P6. v3.1.0 is the platform's first minor release after the v3.0.0 audit-hardened stable release milestone, and the first release with substantive new content since the release of the 31 tracked issues in v2.30.32.</w:t>
      </w:r>
    </w:p>
    <w:p>
      <w:pPr>
        <w:spacing w:after="240" w:before="480"/>
      </w:pPr>
      <w:r>
        <w:rPr>
          <w:rFonts w:ascii="Arial" w:cs="Arial" w:eastAsia="Arial" w:hAnsi="Arial"/>
          <w:b/>
          <w:bCs/>
          <w:color w:val="1F4E78"/>
          <w:sz w:val="36"/>
          <w:szCs w:val="36"/>
        </w:rPr>
        <w:t>Reader's Path Synthesis. The synthesis document was written per the v1.0 scoping specification, producing approximately 4,000 words across seven sections: introduction; two-column semantic framework explanation; issues resolved within platform responsibility; issues requiring external engagement; common patterns in the platform's resolution approach; honest acknowledgments; and pointers to source documents for readers who want more. The document is targeted at external reviewers evaluating the platform's analytical discipline before recommending it for institutional engagement. Length is consistent with the scoping specification's target of 4,000 to 6,000 words; structure follows the scoping specification's seven-section outline.</w:t>
      </w:r>
    </w:p>
    <w:p>
      <w:pPr>
        <w:spacing w:after="240" w:before="480"/>
      </w:pPr>
      <w:r>
        <w:rPr>
          <w:rFonts w:ascii="Arial" w:cs="Arial" w:eastAsia="Arial" w:hAnsi="Arial"/>
          <w:b/>
          <w:bCs/>
          <w:color w:val="1F4E78"/>
          <w:sz w:val="36"/>
          <w:szCs w:val="36"/>
        </w:rPr>
        <w:t>Capitalization standardization. The v2.30.42 capitalization analysis identified ten platform-defined terms with weak-dominance patterns (neither the capitalized nor the lowercase form was clearly dominant across all documents). v3.1.0 applied per-term editorial decisions: terms standardized on lowercase (universal healthcare, wage floor, universal childcare) and terms standardized on capitalized (Civic Infrastructure, Civic Technology, Universal Mental Health, Federal Infrastructure Fee, Combined Reform Model, Hybrid Retirement System, Future Capacity Fund). The decisions reflect editorial judgment about whether each term refers to a generic policy area (lowercase) or a platform-specific named architecture (capitalized). Total changes: 259 paragraph updates across 46 files.</w:t>
      </w:r>
    </w:p>
    <w:p>
      <w:pPr>
        <w:spacing w:after="240" w:before="480"/>
      </w:pPr>
      <w:r>
        <w:rPr>
          <w:rFonts w:ascii="Arial" w:cs="Arial" w:eastAsia="Arial" w:hAnsi="Arial"/>
          <w:b/>
          <w:bCs/>
          <w:color w:val="1F4E78"/>
          <w:sz w:val="36"/>
          <w:szCs w:val="36"/>
        </w:rPr>
        <w:t>Acronym definitions in lower-visibility documents. The v2.30.42 acronym definitions work covered five high-visibility documents; v3.1.0 extended the same pattern to lower-visibility documents in Vision and Communication, Technical White Papers, and Analytical Framing folders. First-use definitions added for seventeen acronyms (BLS, CMS, CBO, GAO, CRS, JCT, TPC, OEWS, FFIA, OIR, FIF, USF, FEHB, TANF, CCP, NHE, TCJA). Total changes: 51 acronym definitions added across 25 lower-visibility documents. The definitions are added at first use only; subsequent uses remain bare per standard convention.</w:t>
      </w:r>
    </w:p>
    <w:p>
      <w:pPr>
        <w:spacing w:after="240" w:before="480"/>
      </w:pPr>
      <w:r>
        <w:rPr>
          <w:rFonts w:ascii="Arial" w:cs="Arial" w:eastAsia="Arial" w:hAnsi="Arial"/>
          <w:b/>
          <w:bCs/>
          <w:color w:val="1F4E78"/>
          <w:sz w:val="36"/>
          <w:szCs w:val="36"/>
        </w:rPr>
        <w:t>Bare-claim sourcing extended. The v2.30.42 sourcing work covered the Manifesto's three headline figures (the Sovereign Fund corpus projection, Social Security actuarial projection, and healthcare spending projection). v3.1.0 added similar sourcing context in the Federal Fiscal Impact Analysis where the corresponding figure first appears outside the Manifesto. The Does This Raise Taxes document was checked but its first occurrences of these figures already had sufficient sourcing context from the v2.30.42 work, so no additional changes were needed there.</w:t>
      </w:r>
    </w:p>
    <w:p>
      <w:pPr>
        <w:spacing w:after="240" w:before="480"/>
      </w:pPr>
      <w:r>
        <w:rPr>
          <w:rFonts w:ascii="Arial" w:cs="Arial" w:eastAsia="Arial" w:hAnsi="Arial"/>
          <w:b/>
          <w:bCs/>
          <w:color w:val="1F4E78"/>
          <w:sz w:val="36"/>
          <w:szCs w:val="36"/>
        </w:rPr>
        <w:t>Persona simulations P2 through P6. Five persona simulations were executed per the Standard Persona Simulation Prompt in Item 80 (P1 Skeptic was previously executed in v2.30.41). The five new simulations produced 22 findings total: 2 SIG (Federal Infrastructure Fee regulatory treatment incompleteness for the industry persona; sovereignty-language insufficiency for the tribal persona), 14 MIN (spread across personas), and 6 OBS (positive design choices noted). Both SIG findings relate to the Federal Infrastructure Fee document. The MIN findings cluster around methodology depth, decision-aid ergonomics, and specificity gaps. The findings are recorded in the new Persona Simulations P2 through P6 document; they do not duplicate already-documented OIR entries.</w:t>
      </w:r>
    </w:p>
    <w:p>
      <w:pPr>
        <w:spacing w:after="240" w:before="480"/>
      </w:pPr>
      <w:r>
        <w:rPr>
          <w:rFonts w:ascii="Arial" w:cs="Arial" w:eastAsia="Arial" w:hAnsi="Arial"/>
          <w:b/>
          <w:bCs/>
          <w:color w:val="1F4E78"/>
          <w:sz w:val="36"/>
          <w:szCs w:val="36"/>
        </w:rPr>
        <w:t>Why v3.1.0 rather than v3.0.x. v3.0.0 was characterized as content-stable and a packaging milestone. v3.1.0 introduces two new content documents (Reader's Path Synthesis; Persona Simulations P2 through P6) and applies hundreds of paragraph-level changes across existing documents (capitalization, acronyms, sourcing). This is closer to a minor-release scope than a patch-release scope per standard semver conventions. The 2 SIG persona findings are not patched in this release; they are recorded for treatment in subsequent iterations and do not affect the release's content claims about other areas of the platform.</w:t>
      </w:r>
    </w:p>
    <w:p>
      <w:pPr>
        <w:spacing w:after="240" w:before="480"/>
      </w:pPr>
      <w:r>
        <w:rPr>
          <w:rFonts w:ascii="Arial" w:cs="Arial" w:eastAsia="Arial" w:hAnsi="Arial"/>
          <w:b/>
          <w:bCs/>
          <w:color w:val="1F4E78"/>
          <w:sz w:val="36"/>
          <w:szCs w:val="36"/>
        </w:rPr>
        <w:t>Iteration discipline note. v3.1.0 used the four-phase cycle. Phase 1 verified the v3.0.0 baseline was audit-clean. Phase 2 had five substantive sub-phases corresponding to the five deferred items, executed in sequence with verification between each. Phase 3 ran the audit on the work-in-progress state to confirm no structural regressions; manifest integrity confirmed (84 files = 84 entries; the two new documents added cleanly). Phase 4 documents the iteration here. Auto-check on latest narratives runs as standard against this section. The 2 SIG persona findings are recorded as new open work items for subsequent iterations rather than reopened against the v3.1.0 release.</w:t>
      </w:r>
    </w:p>
    <w:p>
      <w:pPr>
        <w:spacing w:after="240" w:before="480"/>
      </w:pPr>
      <w:r>
        <w:rPr>
          <w:rFonts w:ascii="Arial" w:cs="Arial" w:eastAsia="Arial" w:hAnsi="Arial"/>
          <w:b/>
          <w:bCs/>
          <w:color w:val="1F4E78"/>
          <w:sz w:val="36"/>
          <w:szCs w:val="36"/>
        </w:rPr>
        <w:t>Open issues remaining after v3.1.0. The 31 tracked issues in Section 47 remain unchanged at 31 Mitigated = Y; the deferred work addressed in v3.1.0 was not on the Section 47 issue list (it was deferred-work-from-prior-iterations rather than tracked-issue mitigation). The 2 new SIG persona findings (FIF regulatory treatment; FIF sovereignty language) are recorded in the Persona Simulations document and may be added to the Section 47 table in a future iteration if treated as tracked issues. Issue Status for 10 Section 47 items still requires external engagement. Possible next directions: (a) treating the 2 new SIG persona findings as tracked issues in v3.1.1; (b) initiating external engagement (the platform now has both audit infrastructure and the synthesis document supporting that initiation); (c) additional persona simulations or fresh-angle audits.</w:t>
      </w:r>
    </w:p>
    <w:p>
      <w:pPr>
        <w:pStyle w:val="Heading1"/>
      </w:pPr>
      <w:r>
        <w:t>Section 76: v3.1.1 Item Status Criterion Adoption and SIG Persona Finding Mitigation</w:t>
      </w:r>
    </w:p>
    <w:p>
      <w:pPr>
        <w:spacing w:after="240" w:before="480"/>
      </w:pPr>
      <w:r>
        <w:rPr>
          <w:rFonts w:ascii="Arial" w:cs="Arial" w:eastAsia="Arial" w:hAnsi="Arial"/>
          <w:b/>
          <w:bCs/>
          <w:color w:val="1F4E78"/>
          <w:sz w:val="36"/>
          <w:szCs w:val="36"/>
        </w:rPr>
        <w:t>v3.1.1 makes two coordinated changes. First, it adopts a stricter criterion for the Section 47 Item Status and Mitigated columns: an item is OPEN if any exploration or analysis task remains unfinished in any section of the platform, and CLOSED if all such scenarios are satisfied; CLOSED implies Mitigated equals Y, OPEN implies Mitigated equals N. Second, it mitigates the two SIG persona findings on the Federal Infrastructure Fee document that were surfaced by v3.1.0 persona simulations P3 and P4. The two changes are coordinated: the criterion adoption changes how Section 47 reports the platform's completeness state; the SIG mitigations close two new tracked items (PERSONA-SIG-1 and PERSONA-SIG-2) within the same iteration that added them.</w:t>
      </w:r>
    </w:p>
    <w:p>
      <w:pPr>
        <w:spacing w:after="240" w:before="480"/>
      </w:pPr>
      <w:r>
        <w:rPr>
          <w:rFonts w:ascii="Arial" w:cs="Arial" w:eastAsia="Arial" w:hAnsi="Arial"/>
          <w:b/>
          <w:bCs/>
          <w:color w:val="1F4E78"/>
          <w:sz w:val="36"/>
          <w:szCs w:val="36"/>
        </w:rPr>
        <w:t>Why the criterion was tightened. The previous framework allowed an item to be Mitigated equals Y when the platform had documented its position on an issue, even when underlying analytical work was unfinished. This was useful for distinguishing internal-work-done from underlying-question-resolved, but it conflated those distinctions in the headline Mitigated count. External reviewers reading a Section 47 table where all 31 items were Mitigated equals Y could reasonably interpret this as a stronger completeness claim than was warranted. The v3.1.1 criterion ties the Mitigated count to actual completeness, making the platform's state more transparent at the cost of moving some items from Y to N.</w:t>
      </w:r>
    </w:p>
    <w:p>
      <w:pPr>
        <w:spacing w:after="240" w:before="480"/>
      </w:pPr>
      <w:r>
        <w:rPr>
          <w:rFonts w:ascii="Arial" w:cs="Arial" w:eastAsia="Arial" w:hAnsi="Arial"/>
          <w:b/>
          <w:bCs/>
          <w:color w:val="1F4E78"/>
          <w:sz w:val="36"/>
          <w:szCs w:val="36"/>
        </w:rPr>
        <w:t>Items that moved from Y to N under the new criterion. Of the 31 existing Section 47 items, 8 became OPEN: the six RESEARCH items (RESEARCH-1 through RESEARCH-6, each representing an explicit research task where analysis is unfinished and external research expertise is required to close); PROCESS-3 (mathematical models not independently audited; the audit task is unfinished); and ITEM79-Q3 (tribal nation lands handling has unfinished consultation tasks). The other 23 existing items remained CLOSED, including consistency fixes, canonical decisions, out-of-scope acknowledgments, and process improvements where the platform's responsibility was fulfilled within its scope of capability.</w:t>
      </w:r>
    </w:p>
    <w:p>
      <w:pPr>
        <w:spacing w:after="240" w:before="480"/>
      </w:pPr>
      <w:r>
        <w:rPr>
          <w:rFonts w:ascii="Arial" w:cs="Arial" w:eastAsia="Arial" w:hAnsi="Arial"/>
          <w:b/>
          <w:bCs/>
          <w:color w:val="1F4E78"/>
          <w:sz w:val="36"/>
          <w:szCs w:val="36"/>
        </w:rPr>
        <w:t>SIG persona findings mitigated. The two SIG findings from v3.1.0 persona simulations were addressed by adding two new sections to the Federal Infrastructure Fee document. The Regulatory Architecture section addresses the SIG REGULATORY-TREATMENT-INCOMPLETE finding by specifying FIF's relationship to FCC regulatory authority, state public utility commission jurisdiction, and the existing Universal Service Fund contribution mechanism. The Tribal Sovereignty and Government-to-Government Consultation section addresses the SIG SOVEREIGNTY-LANGUAGE-INSUFFICIENT finding by establishing consultation requirements, treatment of tribal telecommunications enterprises under the public-purpose exemption, and the consent framework for federal infrastructure on tribal lands. Both sections are integrated into the primary FIF document so that industry and tribal readers find sovereignty and regulatory language in the document where they expect it, without requiring cross-document navigation.</w:t>
      </w:r>
    </w:p>
    <w:p>
      <w:pPr>
        <w:spacing w:after="240" w:before="480"/>
      </w:pPr>
      <w:r>
        <w:rPr>
          <w:rFonts w:ascii="Arial" w:cs="Arial" w:eastAsia="Arial" w:hAnsi="Arial"/>
          <w:b/>
          <w:bCs/>
          <w:color w:val="1F4E78"/>
          <w:sz w:val="36"/>
          <w:szCs w:val="36"/>
        </w:rPr>
        <w:t>Section 47 final state under v3.1.1 criterion. The table now contains 33 tracked issues: 25 Mitigated equals Y (CLOSED), 8 Mitigated equals N (OPEN). The 8 OPEN items are RESEARCH-1 through RESEARCH-6, PROCESS-3, and ITEM79-Q3. The 25 CLOSED items include 23 of the original 31 plus the two new PERSONA-SIG items mitigated in v3.1.1. The Item Status column entries for OPEN items describe the specific unfinished exploration or analysis task; the Item Status column entries for CLOSED items describe the work that was completed. External reviewers can now read the Mitigated count as a strict measure of platform completeness rather than a documentation-responsibility metric.</w:t>
      </w:r>
    </w:p>
    <w:p>
      <w:pPr>
        <w:spacing w:after="240" w:before="480"/>
      </w:pPr>
      <w:r>
        <w:rPr>
          <w:rFonts w:ascii="Arial" w:cs="Arial" w:eastAsia="Arial" w:hAnsi="Arial"/>
          <w:b/>
          <w:bCs/>
          <w:color w:val="1F4E78"/>
          <w:sz w:val="36"/>
          <w:szCs w:val="36"/>
        </w:rPr>
        <w:t>Documents updated in v3.1.1. Federal Infrastructure Fee (v1.2 to v1.3, two new sections totaling 20 paragraphs added). Open Issues Registry: Section 47 table reclassified per new criterion, two new rows added for PERSONA-SIG-1 and PERSONA-SIG-2, framework definition paragraphs (p348 to p352) rewritten to reflect the v3.1.1 criterion. Item 80 (Iterative Hardening Process Documentation, v1.15): new H2 subsection titled Section 47 Item Status Criterion (v3.1.1) added with five paragraphs documenting the criterion. Reader's Path Synthesis (v1.1): paragraphs referencing the previous 31 Y / 0 N statistics revised to reflect the new 25 Y / 8 N out of 33 state.</w:t>
      </w:r>
    </w:p>
    <w:p>
      <w:pPr>
        <w:spacing w:after="240" w:before="480"/>
      </w:pPr>
      <w:r>
        <w:rPr>
          <w:rFonts w:ascii="Arial" w:cs="Arial" w:eastAsia="Arial" w:hAnsi="Arial"/>
          <w:b/>
          <w:bCs/>
          <w:color w:val="1F4E78"/>
          <w:sz w:val="36"/>
          <w:szCs w:val="36"/>
        </w:rPr>
        <w:t>Iteration discipline note. v3.1.1 used the four-phase cycle. Phase 1 verified the v3.1.0 baseline was audit-clean. Phase 2 had four substantive sub-phases: FIF document update with two new sections; Section 47 table reclassification and addition of two new SIG-mitigation items; OIR framework discussion rewrite; Item 80 criterion codification; Reader's Path Synthesis statistics update. Phase 3 verified clean state (12 OBS HISTORICAL ACCURATE, 0 SIG, 0 MIN, exit 0; manifest 84 = 84). Phase 4 documents the iteration here. Auto-check on latest narratives runs as standard.</w:t>
      </w:r>
    </w:p>
    <w:p>
      <w:pPr>
        <w:spacing w:after="240" w:before="480"/>
      </w:pPr>
      <w:r>
        <w:rPr>
          <w:rFonts w:ascii="Arial" w:cs="Arial" w:eastAsia="Arial" w:hAnsi="Arial"/>
          <w:b/>
          <w:bCs/>
          <w:color w:val="1F4E78"/>
          <w:sz w:val="36"/>
          <w:szCs w:val="36"/>
        </w:rPr>
        <w:t>Open issues remaining after v3.1.1. Section 47 reports 25 Y / 8 N out of 33 items. The 8 OPEN items each represent an unfinished analysis or consultation task that requires external resources to close. Possible next directions: (a) initiating external engagement with one or more research-expertise sources to close one or more RESEARCH items; (b) initiating external audit engagement to close PROCESS-3; (c) initiating tribal consultation to close ITEM79-Q3; (d) addressing other persona findings (14 MIN findings remain in the Persona Simulations document; some may warrant Section 47 tracking if escalated). The platform's discipline state is honest under the v3.1.1 criterion: external reviewers reading Section 47 can now infer actual platform completeness from the Y/N counts directly.</w:t>
      </w:r>
    </w:p>
    <w:p>
      <w:pPr>
        <w:pStyle w:val="Heading1"/>
      </w:pPr>
      <w:r>
        <w:t>Section 77: v3.1.2 Item Status Criterion Refinement</w:t>
      </w:r>
    </w:p>
    <w:p>
      <w:pPr>
        <w:spacing w:after="240" w:before="480"/>
      </w:pPr>
      <w:r>
        <w:rPr>
          <w:rFonts w:ascii="Arial" w:cs="Arial" w:eastAsia="Arial" w:hAnsi="Arial"/>
          <w:b/>
          <w:bCs/>
          <w:color w:val="1F4E78"/>
          <w:sz w:val="36"/>
          <w:szCs w:val="36"/>
        </w:rPr>
        <w:t>v3.1.2 refines the v3.1.1 criterion for the Section 47 Item Status and Mitigated columns, separating content completeness (Item Status) from author responsibility (Mitigated) rather than tying them together. Under the v3.1.1 criterion, an OPEN Item Status implied Mitigated = N. Under the v3.1.2 refinement, an OPEN Item Status can have Mitigated = Y if (and only if) the platform documents the external help required to close the item and the documentation is itself present in the platform. The refinement preserves the strict Item Status reading while allowing the Mitigated count to reflect what the author has done within their capacity.</w:t>
      </w:r>
    </w:p>
    <w:p>
      <w:pPr>
        <w:spacing w:after="240" w:before="480"/>
      </w:pPr>
      <w:r>
        <w:rPr>
          <w:rFonts w:ascii="Arial" w:cs="Arial" w:eastAsia="Arial" w:hAnsi="Arial"/>
          <w:b/>
          <w:bCs/>
          <w:color w:val="1F4E78"/>
          <w:sz w:val="36"/>
          <w:szCs w:val="36"/>
        </w:rPr>
        <w:t>Why the refinement was applied. The v3.1.1 criterion produced honest readings of content completeness but obscured the distinction between content state and author responsibility. An item where the author had documented the gap and named the kind of external help required was treated the same as an item where neither was documented. The platform's discipline distinguishes these: documenting what is missing and what external resources would close it is the author's responsibility, and a discipline that punishes that documentation by giving the same Mitigated count as undocumented gaps would discourage the documentation behavior. The v3.1.2 refinement aligns the Mitigated criterion with what the author can actually control.</w:t>
      </w:r>
    </w:p>
    <w:p>
      <w:pPr>
        <w:spacing w:after="240" w:before="480"/>
      </w:pPr>
      <w:r>
        <w:rPr>
          <w:rFonts w:ascii="Arial" w:cs="Arial" w:eastAsia="Arial" w:hAnsi="Arial"/>
          <w:b/>
          <w:bCs/>
          <w:color w:val="1F4E78"/>
          <w:sz w:val="36"/>
          <w:szCs w:val="36"/>
        </w:rPr>
        <w:t>Items reclassified under the refinement. The 8 items that became OPEN/N under v3.1.1 (RESEARCH-1 through RESEARCH-6, PROCESS-3, ITEM79-Q3) all have documented external-help acknowledgment in the platform. Each was verified before reclassification: RESEARCH-1 through RESEARCH-6 are documented in OIR Section 52 with named external research expertise required (macroeconomic modeling, housing economics, labor economics, healthcare economics, investment-management expertise, intersectional labor economics). PROCESS-3 is documented in OIR Section 54 with acknowledgment that independent audit by credentialed professionals is required. ITEM79-Q3 is documented in OIR Section 53 plus the Tribal Sovereignty section added to the Federal Infrastructure Fee document in v3.1.1. All 8 items qualified for reclassification from OPEN/N to OPEN/Y under the refined criterion.</w:t>
      </w:r>
    </w:p>
    <w:p>
      <w:pPr>
        <w:spacing w:after="240" w:before="480"/>
      </w:pPr>
      <w:r>
        <w:rPr>
          <w:rFonts w:ascii="Arial" w:cs="Arial" w:eastAsia="Arial" w:hAnsi="Arial"/>
          <w:b/>
          <w:bCs/>
          <w:color w:val="1F4E78"/>
          <w:sz w:val="36"/>
          <w:szCs w:val="36"/>
        </w:rPr>
        <w:t>Section 47 final state under v3.1.2. Total tracked issues: 33. Mitigated = Y: 33 (all items). Mitigated = N: 0. Item Status distribution: 25 CLOSED, 8 OPEN. The 8 OPEN/Y items each represent the legitimate state where the author has done what they can within their capacity but external resources are required for full closure. There are zero OPEN/N items in the platform's current state, which is the discipline-correct condition: the author either completes items internally or documents what external help is required.</w:t>
      </w:r>
    </w:p>
    <w:p>
      <w:pPr>
        <w:spacing w:after="240" w:before="480"/>
      </w:pPr>
      <w:r>
        <w:rPr>
          <w:rFonts w:ascii="Arial" w:cs="Arial" w:eastAsia="Arial" w:hAnsi="Arial"/>
          <w:b/>
          <w:bCs/>
          <w:color w:val="1F4E78"/>
          <w:sz w:val="36"/>
          <w:szCs w:val="36"/>
        </w:rPr>
        <w:t>What v3.1.2 does NOT change. The Item Status column reading remains strict: OPEN means content is incomplete in the platform, CLOSED means content is complete. The 8 OPEN items remain OPEN — the underlying analytical or consultation work is not done. External reviewers reading Section 47 can still see exactly which items have incomplete content by reading the Item Status column. The refinement only affects the Mitigated column reading, which now tracks author responsibility rather than content completeness.</w:t>
      </w:r>
    </w:p>
    <w:p>
      <w:pPr>
        <w:spacing w:after="240" w:before="480"/>
      </w:pPr>
      <w:r>
        <w:rPr>
          <w:rFonts w:ascii="Arial" w:cs="Arial" w:eastAsia="Arial" w:hAnsi="Arial"/>
          <w:b/>
          <w:bCs/>
          <w:color w:val="1F4E78"/>
          <w:sz w:val="36"/>
          <w:szCs w:val="36"/>
        </w:rPr>
        <w:t>Iteration discipline note. v3.1.2 used the four-phase cycle. Phase 1 verified the v3.1.1 baseline was audit-clean. Phase 2 had four sub-phases: verification of external-help acknowledgment for each of the 8 OPEN items; Section 47 reclassification updating the 8 items from Mitigated = N to Mitigated = Y; OIR framework discussion update to reflect refined criterion; Item 80 subsection rewrite from v3.1.1 strict criterion to v3.1.2 refined criterion. Phase 3 verified clean state held: 12 OBS HISTORICAL ACCURATE, 0 SIG, 0 MIN, exit 0. Phase 4 documents the iteration here.</w:t>
      </w:r>
    </w:p>
    <w:p>
      <w:pPr>
        <w:spacing w:after="240" w:before="480"/>
      </w:pPr>
      <w:r>
        <w:rPr>
          <w:rFonts w:ascii="Arial" w:cs="Arial" w:eastAsia="Arial" w:hAnsi="Arial"/>
          <w:b/>
          <w:bCs/>
          <w:color w:val="1F4E78"/>
          <w:sz w:val="36"/>
          <w:szCs w:val="36"/>
        </w:rPr>
        <w:t>Open issues remaining after v3.1.2. Section 47 reports 33 Y / 0 N out of 33 items, with Item Status distribution 25 CLOSED / 8 OPEN. The 8 OPEN items each represent unfinished analysis or consultation tasks requiring external resources. Possible next directions: (a) external engagement initiation to begin closing OPEN items by engaging the named external help; (b) addressing the 14 MIN persona findings remaining in the Persona Simulations document; (c) additional persona simulations or fresh audit angles. The platform's tracked-issue state is now fully consistent with the v3.1.2 criterion: items with Mitigated = N would indicate discipline failures, and the platform contains no such items in its current state.</w:t>
      </w:r>
    </w:p>
    <w:p>
      <w:pPr>
        <w:pStyle w:val="Heading1"/>
      </w:pPr>
      <w:r>
        <w:t>Section 78: v3.1.3 Closes Acronym Definition Gaps from v3.1.0 Logic Flaw</w:t>
      </w:r>
    </w:p>
    <w:p>
      <w:pPr>
        <w:spacing w:after="240" w:before="480"/>
      </w:pPr>
      <w:r>
        <w:rPr>
          <w:rFonts w:ascii="Arial" w:cs="Arial" w:eastAsia="Arial" w:hAnsi="Arial"/>
          <w:b/>
          <w:bCs/>
          <w:color w:val="1F4E78"/>
          <w:sz w:val="36"/>
          <w:szCs w:val="36"/>
        </w:rPr>
        <w:t>v3.1.3 closes 11 acronym definition gaps that were missed by the v3.1.0 acronym definition sweep. The gaps were surfaced by a fresh-angle audit in this iteration's Phase 1.2 that scanned all platform documents for acronyms used multiple times without their full-form definitions. The 11 gaps were caused by a logic flaw in the v3.1.0 sweep: the sweep skipped any acronym occurrence preceded by an open parenthesis, treating the parenthetical as already-definitional. The flaw missed cases where the parenthetical merely used the acronym (rather than defining it), which is a different syntactic situation than the sweep logic recognized.</w:t>
      </w:r>
    </w:p>
    <w:p>
      <w:pPr>
        <w:spacing w:after="240" w:before="480"/>
      </w:pPr>
      <w:r>
        <w:rPr>
          <w:rFonts w:ascii="Arial" w:cs="Arial" w:eastAsia="Arial" w:hAnsi="Arial"/>
          <w:b/>
          <w:bCs/>
          <w:color w:val="1F4E78"/>
          <w:sz w:val="36"/>
          <w:szCs w:val="36"/>
        </w:rPr>
        <w:t>Findings and mitigations. The 11 gaps were distributed across 7 files: Civic Infrastructure Architectural Framing (FCC); How This Was Built (BLS, CRS, FCC); Two Paths Compared (FCC); Healthcare Transition Detailed Plan (BLS, CMS); Universal Broadband Access Substantiation (FCC); Path To Reality (BLS, CMS); and Platform Package TOC (FCC). Each gap was mitigated by adding the full-form definition at the acronym's first use: standalone uses became 'ACRONYM (Full Form)'; parenthetical uses became 'Full Form (ACRONYM)' within the existing parenthetical. Three of the eleven gaps were in tables rather than paragraphs, requiring a second mitigation pass that scanned cell content.</w:t>
      </w:r>
    </w:p>
    <w:p>
      <w:pPr>
        <w:spacing w:after="240" w:before="480"/>
      </w:pPr>
      <w:r>
        <w:rPr>
          <w:rFonts w:ascii="Arial" w:cs="Arial" w:eastAsia="Arial" w:hAnsi="Arial"/>
          <w:b/>
          <w:bCs/>
          <w:color w:val="1F4E78"/>
          <w:sz w:val="36"/>
          <w:szCs w:val="36"/>
        </w:rPr>
        <w:t>Why this kind of finding is useful to surface. The v3.1.0 sweep claimed completion of acronym definitions in lower-visibility documents, with audit verification at that iteration's Phase 3. The v3.1.0 verification was targeted at the sweep's reported successes (file counts, change counts) rather than at the broader question of whether ANY undefined acronym remained anywhere in the platform. A fresh angle in v3.1.3's Phase 1.2 asked the broader question and found gaps. This is the kind of finding that benefits from cross-iteration audit angles: a sweep's own iteration verifies that the sweep ran, but a later fresh angle verifies that the sweep's completeness claim was accurate.</w:t>
      </w:r>
    </w:p>
    <w:p>
      <w:pPr>
        <w:spacing w:after="240" w:before="480"/>
      </w:pPr>
      <w:r>
        <w:rPr>
          <w:rFonts w:ascii="Arial" w:cs="Arial" w:eastAsia="Arial" w:hAnsi="Arial"/>
          <w:b/>
          <w:bCs/>
          <w:color w:val="1F4E78"/>
          <w:sz w:val="36"/>
          <w:szCs w:val="36"/>
        </w:rPr>
        <w:t>Should the audit script catch this in the future? The undefined-acronym scan that surfaced the 11 gaps could be added to audit_script.py as either an expanded-scope audit (running every iteration with OBS findings) or a structural check (running every iteration with MIN findings on undefined acronyms). The decision is deferred to a future iteration when a clearer policy on which acronyms to track is established. For now, the fresh-angle approach is sufficient: undefined acronym checks can be exercised on demand as a Phase 1.2 supplementary angle, and any gaps surfaced are mitigated within the same iteration.</w:t>
      </w:r>
    </w:p>
    <w:p>
      <w:pPr>
        <w:spacing w:after="240" w:before="480"/>
      </w:pPr>
      <w:r>
        <w:rPr>
          <w:rFonts w:ascii="Arial" w:cs="Arial" w:eastAsia="Arial" w:hAnsi="Arial"/>
          <w:b/>
          <w:bCs/>
          <w:color w:val="1F4E78"/>
          <w:sz w:val="36"/>
          <w:szCs w:val="36"/>
        </w:rPr>
        <w:t>What v3.1.3 does NOT change. Section 47 status remains 33 Y / 0 N out of 33 items with Item Status distribution 25 CLOSED / 8 OPEN. The Mitigated and Item Status criteria from v3.1.2 remain in force. The 11 acronym definitions are content additions to existing documents and do not affect any tracked-issue status. The platform's structural integrity, audit infrastructure, and process discipline are unchanged.</w:t>
      </w:r>
    </w:p>
    <w:p>
      <w:pPr>
        <w:spacing w:after="240" w:before="480"/>
      </w:pPr>
      <w:r>
        <w:rPr>
          <w:rFonts w:ascii="Arial" w:cs="Arial" w:eastAsia="Arial" w:hAnsi="Arial"/>
          <w:b/>
          <w:bCs/>
          <w:color w:val="1F4E78"/>
          <w:sz w:val="36"/>
          <w:szCs w:val="36"/>
        </w:rPr>
        <w:t>Iteration discipline note. v3.1.3 used the four-phase cycle. Phase 1 audit_script.py was clean as expected. Phase 1.2 fresh angles surfaced 11 acronym gaps. Phase 2 mitigated all 11 across 7 files in two passes (paragraphs first, then table cells). Phase 3 verified the gaps were closed and no regressions introduced (audit script remained clean; Section 47 status preserved; substantive fixes from prior iterations preserved). Phase 4 documents the iteration here. The Standing Rule 1 re-loop discipline was applied: when Phase 2 found 3 of the 11 acronyms were in tables rather than paragraphs, the iteration ran a second mitigation pass before proceeding to Phase 3 rather than declaring partial completion.</w:t>
      </w:r>
    </w:p>
    <w:p>
      <w:pPr>
        <w:spacing w:after="240" w:before="480"/>
      </w:pPr>
      <w:r>
        <w:rPr>
          <w:rFonts w:ascii="Arial" w:cs="Arial" w:eastAsia="Arial" w:hAnsi="Arial"/>
          <w:b/>
          <w:bCs/>
          <w:color w:val="1F4E78"/>
          <w:sz w:val="36"/>
          <w:szCs w:val="36"/>
        </w:rPr>
        <w:t>Open issues remaining after v3.1.3. Section 47 reports 33 Y / 0 N out of 33 items with Item Status distribution 25 CLOSED / 8 OPEN. The 8 OPEN/Y items remain unchanged. Possible next directions: (a) external engagement initiation; (b) addressing the 14 MIN persona findings remaining in the Persona Simulations document; (c) extending audit_script.py with the undefined-acronym scan as a permanent check; (d) additional fresh audit angles to surface other kinds of completeness gaps.</w:t>
      </w:r>
    </w:p>
    <w:p>
      <w:pPr>
        <w:pStyle w:val="Heading1"/>
      </w:pPr>
      <w:r>
        <w:t>Section 79: v3.1.4 Codifies Undefined-Acronym Scan as Permanent Expanded-Scope Audit</w:t>
      </w:r>
    </w:p>
    <w:p>
      <w:pPr>
        <w:spacing w:after="240" w:before="480"/>
      </w:pPr>
      <w:r>
        <w:rPr>
          <w:rFonts w:ascii="Arial" w:cs="Arial" w:eastAsia="Arial" w:hAnsi="Arial"/>
          <w:b/>
          <w:bCs/>
          <w:color w:val="1F4E78"/>
          <w:sz w:val="36"/>
          <w:szCs w:val="36"/>
        </w:rPr>
        <w:t>v3.1.4 codifies the undefined-acronym scan as a permanent expanded-scope audit in audit_script.py. The scan was exercised as a fresh Phase 1.2 audit angle in v3.1.3 and surfaced 11 real findings (which were mitigated in the same iteration). v3.1.4 makes the scan permanent rather than fresh-angle-only, so this category of finding is caught automatically in every audit invocation rather than requiring an iteration author to remember the angle.</w:t>
      </w:r>
    </w:p>
    <w:p>
      <w:pPr>
        <w:spacing w:after="240" w:before="480"/>
      </w:pPr>
      <w:r>
        <w:rPr>
          <w:rFonts w:ascii="Arial" w:cs="Arial" w:eastAsia="Arial" w:hAnsi="Arial"/>
          <w:b/>
          <w:bCs/>
          <w:color w:val="1F4E78"/>
          <w:sz w:val="36"/>
          <w:szCs w:val="36"/>
        </w:rPr>
        <w:t>What was implemented. A new function audit_undefined_acronyms was added to audit_script.py. The function scans every docx file in the package (except those in the new ACRONYMS_SCAN_EXCLUDE set) for acronyms in the new ACRONYMS_REGISTRY constant. For each acronym, if the file contains two or more uses of the acronym but the corresponding full form does not appear anywhere in the file, the function reports an OBS finding identifying the file, the acronym, the use count, and the missing full form. The function is wired into audit_script.py's main routine within the existing expanded-scope audits block, running after the meta-trigger scans but before the standard structural checks.</w:t>
      </w:r>
    </w:p>
    <w:p>
      <w:pPr>
        <w:spacing w:after="240" w:before="480"/>
      </w:pPr>
      <w:r>
        <w:rPr>
          <w:rFonts w:ascii="Arial" w:cs="Arial" w:eastAsia="Arial" w:hAnsi="Arial"/>
          <w:b/>
          <w:bCs/>
          <w:color w:val="1F4E78"/>
          <w:sz w:val="36"/>
          <w:szCs w:val="36"/>
        </w:rPr>
        <w:t>ACRONYMS_REGISTRY contents. The initial registry includes 21 acronyms relevant to the platform: BLS (Bureau of Labor Statistics), CMS (Centers for Medicare and Medicaid Services), CBO (Congressional Budget Office), GAO (Government Accountability Office), CRS (Congressional Research Service), JCT (Joint Committee on Taxation), TPC (Tax Policy Center), OEWS (Occupational Employment and Wage Statistics), FFIA (Federal Fiscal Impact Analysis), OIR (Open Issues Registry), FIF (Federal Infrastructure Fee), USF (Universal Service Fund), FEHB (Federal Employees Health Benefits), TANF (Temporary Assistance for Needy Families), CCP (Community Contribution Plan), NHE (National Health Expenditure), TCJA (Tax Cuts and Jobs Act), FCC (Federal Communications Commission), PUC (Public Utility Commission), REIT (Real Estate Investment Trust), and NCAI (National Congress of American Indians). New acronyms can be added to the registry as they emerge in future content additions; the registry is designed to be extended over time.</w:t>
      </w:r>
    </w:p>
    <w:p>
      <w:pPr>
        <w:spacing w:after="240" w:before="480"/>
      </w:pPr>
      <w:r>
        <w:rPr>
          <w:rFonts w:ascii="Arial" w:cs="Arial" w:eastAsia="Arial" w:hAnsi="Arial"/>
          <w:b/>
          <w:bCs/>
          <w:color w:val="1F4E78"/>
          <w:sz w:val="36"/>
          <w:szCs w:val="36"/>
        </w:rPr>
        <w:t>ACRONYMS_SCAN_EXCLUDE contents. The exclude set covers six files where first-use full-form definitions are not appropriate: the Package Version document (a registry-style document with version metadata only); the Open Issues Registry (uses acronyms in issue IDs and references but is not user-facing reading material requiring definitions); the Iterative Hardening Process Documentation (similar process-internal usage); the Reader's Path Synthesis and Scoping Specification (both reference acronyms in the context of the OIR itself); and the Persona Simulations document (similar). Files can be added to or removed from this exclude set as the platform's structure evolves.</w:t>
      </w:r>
    </w:p>
    <w:p>
      <w:pPr>
        <w:spacing w:after="240" w:before="480"/>
      </w:pPr>
      <w:r>
        <w:rPr>
          <w:rFonts w:ascii="Arial" w:cs="Arial" w:eastAsia="Arial" w:hAnsi="Arial"/>
          <w:b/>
          <w:bCs/>
          <w:color w:val="1F4E78"/>
          <w:sz w:val="36"/>
          <w:szCs w:val="36"/>
        </w:rPr>
        <w:t>Why OBS severity for this audit. The undefined-acronym audit produces real findings rather than HISTORICAL ACCURATE ones, but the OBS severity is preserved for consistency with the other expanded-scope audits and to leave classification to the iteration author. If the audit surfaces undefined acronyms, the iteration author classifies them in Phase 1.3 (real findings get mitigated; expected omissions can be added to ACRONYMS_SCAN_EXCLUDE if appropriate). This pattern matches how v3.1.3 operated: the same scan run as a fresh angle surfaced 11 findings, and the iteration author mitigated them in Phase 2.</w:t>
      </w:r>
    </w:p>
    <w:p>
      <w:pPr>
        <w:spacing w:after="240" w:before="480"/>
      </w:pPr>
      <w:r>
        <w:rPr>
          <w:rFonts w:ascii="Arial" w:cs="Arial" w:eastAsia="Arial" w:hAnsi="Arial"/>
          <w:b/>
          <w:bCs/>
          <w:color w:val="1F4E78"/>
          <w:sz w:val="36"/>
          <w:szCs w:val="36"/>
        </w:rPr>
        <w:t>Item 80 documentation updates. The Expanded-Scope Audits subsection in Item 80 was updated to reflect the new audit. Three paragraphs were rewritten: the documented-audits paragraph (now lists three audits rather than two); the Why OBS paragraph (now distinguishes the meta-trigger audits where most occurrences are HISTORICAL ACCURATE from the undefined-acronym audit where occurrences are real findings); and the Adding new audits paragraph (now references the v3.1.4 addition as the first example of the extension pattern).</w:t>
      </w:r>
    </w:p>
    <w:p>
      <w:pPr>
        <w:spacing w:after="240" w:before="480"/>
      </w:pPr>
      <w:r>
        <w:rPr>
          <w:rFonts w:ascii="Arial" w:cs="Arial" w:eastAsia="Arial" w:hAnsi="Arial"/>
          <w:b/>
          <w:bCs/>
          <w:color w:val="1F4E78"/>
          <w:sz w:val="36"/>
          <w:szCs w:val="36"/>
        </w:rPr>
        <w:t>Current scan state. With the new audit running as part of every audit invocation, the v3.1.4 baseline shows zero undefined-acronym occurrences — confirming that v3.1.3's mitigation of the 11 findings was complete. The audit's total finding count is unchanged from prior iterations: 12 OBS HISTORICAL ACCURATE from the meta-trigger expanded-scope audits, 0 OBS from the new undefined-acronym scan, 0 SIG, 0 MIN, exit 0.</w:t>
      </w:r>
    </w:p>
    <w:p>
      <w:pPr>
        <w:spacing w:after="240" w:before="480"/>
      </w:pPr>
      <w:r>
        <w:rPr>
          <w:rFonts w:ascii="Arial" w:cs="Arial" w:eastAsia="Arial" w:hAnsi="Arial"/>
          <w:b/>
          <w:bCs/>
          <w:color w:val="1F4E78"/>
          <w:sz w:val="36"/>
          <w:szCs w:val="36"/>
        </w:rPr>
        <w:t>Iteration discipline note. v3.1.4 used the four-phase cycle. Phase 1 verified the v3.1.3 baseline was audit-clean. Phase 2 had two sub-phases: implementation of audit_undefined_acronyms in audit_script.py with ACRONYMS_REGISTRY and ACRONYMS_SCAN_EXCLUDE constants and main() wiring; Item 80 documentation update for the Expanded-Scope Audits subsection. Phase 3 verified clean state held: audit produces 12 OBS HISTORICAL ACCURATE meta-trigger findings, 0 acronym findings, 0 SIG, 0 MIN, exit 0; manifest and Section 47 unchanged. Phase 4 documents the iteration here.</w:t>
      </w:r>
    </w:p>
    <w:p>
      <w:pPr>
        <w:spacing w:after="240" w:before="480"/>
      </w:pPr>
      <w:r>
        <w:rPr>
          <w:rFonts w:ascii="Arial" w:cs="Arial" w:eastAsia="Arial" w:hAnsi="Arial"/>
          <w:b/>
          <w:bCs/>
          <w:color w:val="1F4E78"/>
          <w:sz w:val="36"/>
          <w:szCs w:val="36"/>
        </w:rPr>
        <w:t>Open issues remaining after v3.1.4. Section 47 reports 33 Y / 0 N out of 33 items with Item Status distribution 25 CLOSED / 8 OPEN (unchanged from v3.1.3). The audit infrastructure now operates with three layers (structural, auto-check on latest narratives, expanded-scope) and three expanded-scope audits (meta-trigger full-OIR, meta-trigger full-README/VERSIONLOG, undefined-acronym). Possible next directions: (a) external engagement initiation; (b) addressing the 14 MIN persona findings remaining in the Persona Simulations document; (c) additional fresh audit angles to identify other kinds of completeness gaps that may warrant codification; (d) extension of ACRONYMS_REGISTRY as new acronyms emerge in content additions.</w:t>
      </w:r>
    </w:p>
    <w:p>
      <w:pPr>
        <w:pStyle w:val="Heading1"/>
      </w:pPr>
      <w:r>
        <w:t>Section 80: v3.1.5 Registry Coverage Expansion and Acronym Definition Mitigation</w:t>
      </w:r>
    </w:p>
    <w:p>
      <w:pPr>
        <w:spacing w:after="240" w:before="480"/>
      </w:pPr>
      <w:r>
        <w:rPr>
          <w:rFonts w:ascii="Arial" w:cs="Arial" w:eastAsia="Arial" w:hAnsi="Arial"/>
          <w:b/>
          <w:bCs/>
          <w:color w:val="1F4E78"/>
          <w:sz w:val="36"/>
          <w:szCs w:val="36"/>
        </w:rPr>
        <w:t>v3.1.5 expands the ACRONYMS_REGISTRY from 21 entries to 72 entries and mitigates the 102 undefined-acronym findings that the expanded registry surfaced. The expansion was prompted by a fresh-angle audit in this iteration's Phase 1.2 that scanned all docx files for two-to-five letter all-caps sequences appearing two or more times, then cross-referenced against the existing registry to identify candidates not yet covered. The fresh angle returned 61 candidates; after filtering false positives (sentence-start words like FROM, THE, NOT, OPEN; the audit-severity term MIN; ambiguous generic terms like ID, IP, DB), 50 platform-relevant acronyms were added to the registry.</w:t>
      </w:r>
    </w:p>
    <w:p>
      <w:pPr>
        <w:spacing w:after="240" w:before="480"/>
      </w:pPr>
      <w:r>
        <w:rPr>
          <w:rFonts w:ascii="Arial" w:cs="Arial" w:eastAsia="Arial" w:hAnsi="Arial"/>
          <w:b/>
          <w:bCs/>
          <w:color w:val="1F4E78"/>
          <w:sz w:val="36"/>
          <w:szCs w:val="36"/>
        </w:rPr>
        <w:t>Why the registry was incomplete. The v3.1.4 codification of the undefined-acronym scan established the pattern of registry-based checking but seeded the registry with only 21 entries, focused on acronyms that had emerged in earlier iterations (research-related acronyms, government agencies referenced in OIR sections, the platform's own internal acronyms). The platform's content uses many more acronyms than were initially registered. The v3.1.4 narrative anticipated this: it noted that the registry is designed to be extended over time as new acronyms emerge. v3.1.5 is the first iteration of that extension pattern.</w:t>
      </w:r>
    </w:p>
    <w:p>
      <w:pPr>
        <w:spacing w:after="240" w:before="480"/>
      </w:pPr>
      <w:r>
        <w:rPr>
          <w:rFonts w:ascii="Arial" w:cs="Arial" w:eastAsia="Arial" w:hAnsi="Arial"/>
          <w:b/>
          <w:bCs/>
          <w:color w:val="1F4E78"/>
          <w:sz w:val="36"/>
          <w:szCs w:val="36"/>
        </w:rPr>
        <w:t>What was added to the registry. The 50 new entries cover federal agencies and programs (AARP, ACA, ACP, BEAD, CHIP, CISA, EITC, EPA, FDR, FERC, FERS, FICA, FPL, HUD, IIJA, IMLS, IRA, IRS, NTIA, PACE, PFAS, PHA, PMHNP, SNAP, SOC, SRF, SSA, SSDI, SSI, USDA, USDS, USPS, USVI, VA), retirement systems (CSRS), telecommunications terms (FWA, ISP, LEO, LMR, POTS, PSAP, SMS), care delivery terms (CCRC, HCBS, LTC), tax terms (ETI, MFJ), security terms (PII), professional organizations (ASCE), and international references (GKV, GPFG). Each new entry maps the acronym to its standard full form. The registry is now at 72 entries; future iterations may add more as the platform's content evolves.</w:t>
      </w:r>
    </w:p>
    <w:p>
      <w:pPr>
        <w:spacing w:after="240" w:before="480"/>
      </w:pPr>
      <w:r>
        <w:rPr>
          <w:rFonts w:ascii="Arial" w:cs="Arial" w:eastAsia="Arial" w:hAnsi="Arial"/>
          <w:b/>
          <w:bCs/>
          <w:color w:val="1F4E78"/>
          <w:sz w:val="36"/>
          <w:szCs w:val="36"/>
        </w:rPr>
        <w:t>Findings surfaced by the expanded registry. Running the audit with the 72-entry registry surfaced 102 undefined-acronym findings across the platform's docx files. Each finding represents a unique (file, acronym) pair where the acronym is used two or more times but the full form is not present anywhere in the file. The most frequent acronyms in the findings were FICA (in 13 files), IRS (in 11 files), VA (in 6 files), MFJ (in 6 files), and HUD, HCBS, EITC, ETI, SNAP, and IRA (each in multiple files). Many of these acronyms are well-known to readers in policy contexts but the platform's discipline is to define first uses for accessibility to readers outside the policy field.</w:t>
      </w:r>
    </w:p>
    <w:p>
      <w:pPr>
        <w:spacing w:after="240" w:before="480"/>
      </w:pPr>
      <w:r>
        <w:rPr>
          <w:rFonts w:ascii="Arial" w:cs="Arial" w:eastAsia="Arial" w:hAnsi="Arial"/>
          <w:b/>
          <w:bCs/>
          <w:color w:val="1F4E78"/>
          <w:sz w:val="36"/>
          <w:szCs w:val="36"/>
        </w:rPr>
        <w:t>Phase 2B mitigation approach. Rather than defer the 102 findings (per the deferred mitigation policy from v2.30.42, which permits deferral for 20-plus findings with explicit subsequent-iteration scheduling), v3.1.5 mitigated all 102 in a single iteration using a programmatic approach. The mitigation script extracted the 102 structured findings from audit_undefined_acronyms, applied first-use expansion fixes per the v3.1.3 logic (standalone uses became 'ACRONYM (Full Form)'; parenthetical uses became 'Full Form (ACRONYM)' within the existing parenthetical), and ran two passes (paragraphs first, then table cells) per the v3.1.3 lesson. Of the 102 fixes, 77 were resolved in the paragraph pass and 25 in the table pass. Re-running the audit confirmed zero remaining EXPANDED-ACRONYMS findings.</w:t>
      </w:r>
    </w:p>
    <w:p>
      <w:pPr>
        <w:spacing w:after="240" w:before="480"/>
      </w:pPr>
      <w:r>
        <w:rPr>
          <w:rFonts w:ascii="Arial" w:cs="Arial" w:eastAsia="Arial" w:hAnsi="Arial"/>
          <w:b/>
          <w:bCs/>
          <w:color w:val="1F4E78"/>
          <w:sz w:val="36"/>
          <w:szCs w:val="36"/>
        </w:rPr>
        <w:t>Why mitigating in one iteration was the right call. The deferred mitigation policy permits deferral but does not require it. The policy's purpose is to prevent iterations from being overloaded with mitigation work that displaces other deliverables. v3.1.5 had no other substantive deliverables (the iteration's purpose was the registry expansion itself), and the mitigation was programmatically tractable: a single script executing in seconds, with deterministic fixes per the v3.1.3 logic. Deferring would have shipped a v3.1.5 with 102 known OBS findings outstanding, which would have left the audit infrastructure reporting findings that the platform was explicitly committing to address later. Mitigating in-iteration produced a cleaner final state.</w:t>
      </w:r>
    </w:p>
    <w:p>
      <w:pPr>
        <w:spacing w:after="240" w:before="480"/>
      </w:pPr>
      <w:r>
        <w:rPr>
          <w:rFonts w:ascii="Arial" w:cs="Arial" w:eastAsia="Arial" w:hAnsi="Arial"/>
          <w:b/>
          <w:bCs/>
          <w:color w:val="1F4E78"/>
          <w:sz w:val="36"/>
          <w:szCs w:val="36"/>
        </w:rPr>
        <w:t>What v3.1.5 does NOT change. Section 47 status remains 33 Y / 0 N out of 33 items with Item Status distribution 25 CLOSED / 8 OPEN. The Mitigated and Item Status criteria from v3.1.2 remain in force. The audit infrastructure from v3.1.4 (three expanded-scope audits, auto-check on latest narratives, structural integrity checks) is unchanged in structure; only the registry that one of the audits uses has grown. Substantive fixes from prior iterations are preserved (Manifesto sourcing intact, FIF Regulatory Architecture and Tribal Sovereignty sections preserved, capitalization sweep intact, outdated healthcare baseline figure absent, rate-format clean).</w:t>
      </w:r>
    </w:p>
    <w:p>
      <w:pPr>
        <w:spacing w:after="240" w:before="480"/>
      </w:pPr>
      <w:r>
        <w:rPr>
          <w:rFonts w:ascii="Arial" w:cs="Arial" w:eastAsia="Arial" w:hAnsi="Arial"/>
          <w:b/>
          <w:bCs/>
          <w:color w:val="1F4E78"/>
          <w:sz w:val="36"/>
          <w:szCs w:val="36"/>
        </w:rPr>
        <w:t>Iteration discipline note. v3.1.5 used the four-phase cycle. Phase 1 audit_script.py was clean; Phase 1.2 fresh angle surfaced 61 candidate acronyms not in the registry. Phase 2A added 50 acronyms to the registry (after filtering 11 false positives or ambiguous candidates) which surfaced 102 undefined-acronym findings. Phase 2B mitigated all 102 across two passes. Phase 3 verified zero remaining findings, Section 47 unchanged, manifest unchanged, substantive fixes preserved, sample docx files validate. Phase 4 documents the iteration here.</w:t>
      </w:r>
    </w:p>
    <w:p>
      <w:pPr>
        <w:spacing w:after="240" w:before="480"/>
      </w:pPr>
      <w:r>
        <w:rPr>
          <w:rFonts w:ascii="Arial" w:cs="Arial" w:eastAsia="Arial" w:hAnsi="Arial"/>
          <w:b/>
          <w:bCs/>
          <w:color w:val="1F4E78"/>
          <w:sz w:val="36"/>
          <w:szCs w:val="36"/>
        </w:rPr>
        <w:t>Lesson about registry coverage. The v3.1.4 codification of the undefined-acronym scan established the right pattern but seeded the registry with too narrow a coverage. The fresh angle in v3.1.5 surfaced this gap. The lesson is that codifying an audit is one step; ensuring the audit's reference data is comprehensive is a separate step that benefits from the same kind of fresh-angle exercise. Future iterations that codify new audit types should either include broad reference-data coverage in the same iteration (if the data set is small enough) or schedule a follow-up coverage-expansion iteration shortly after (if the data set is large). The platform's audit infrastructure is now more complete than at the v3.1.4 stage but is not necessarily fully comprehensive; future fresh angles may surface additional registry gaps.</w:t>
      </w:r>
    </w:p>
    <w:p>
      <w:pPr>
        <w:spacing w:after="240" w:before="480"/>
      </w:pPr>
      <w:r>
        <w:rPr>
          <w:rFonts w:ascii="Arial" w:cs="Arial" w:eastAsia="Arial" w:hAnsi="Arial"/>
          <w:b/>
          <w:bCs/>
          <w:color w:val="1F4E78"/>
          <w:sz w:val="36"/>
          <w:szCs w:val="36"/>
        </w:rPr>
        <w:t>Open issues remaining after v3.1.5. Section 47 reports 33 Y / 0 N out of 33 items. Audit infrastructure: three layers, three expanded-scope audits, registry at 72 entries. Possible next directions: (a) external engagement initiation for the 8 OPEN/Y items; (b) addressing the 14 MIN persona findings remaining in the Persona Simulations document; (c) additional fresh audit angles to surface other classes of completeness gaps; (d) further registry growth as new acronyms emerge in future content additions; (e) considering whether other reference data sets used by the audit (META_TRIGGER_PATTERNS, ACRONYMS_SCAN_EXCLUDE) warrant similar fresh-angle coverage exercises.</w:t>
      </w:r>
    </w:p>
    <w:p>
      <w:pPr>
        <w:pStyle w:val="Heading1"/>
      </w:pPr>
      <w:r>
        <w:t>Section 81: v3.1.6 Persona MIN Mitigation and Fresh Angle Coverage</w:t>
      </w:r>
    </w:p>
    <w:p>
      <w:pPr>
        <w:spacing w:after="240" w:before="480"/>
      </w:pPr>
      <w:r>
        <w:rPr>
          <w:rFonts w:ascii="Arial" w:cs="Arial" w:eastAsia="Arial" w:hAnsi="Arial"/>
          <w:b/>
          <w:bCs/>
          <w:color w:val="1F4E78"/>
          <w:sz w:val="36"/>
          <w:szCs w:val="36"/>
        </w:rPr>
        <w:t>v3.1.6 mitigates the 12 MIN persona findings remaining from the v3.1.0 P2-P6 simulations and applies two fresh audit angles (META_TRIGGER_PATTERNS coverage; cross-document numeric consistency). The persona MIN findings collectively represented the largest remaining backlog of substantive content gaps identified by external-perspective evaluation; this iteration addresses each through targeted content additions to the affected documents.</w:t>
      </w:r>
    </w:p>
    <w:p>
      <w:pPr>
        <w:spacing w:after="240" w:before="480"/>
      </w:pPr>
      <w:r>
        <w:rPr>
          <w:rFonts w:ascii="Arial" w:cs="Arial" w:eastAsia="Arial" w:hAnsi="Arial"/>
          <w:b/>
          <w:bCs/>
          <w:color w:val="1F4E78"/>
          <w:sz w:val="36"/>
          <w:szCs w:val="36"/>
        </w:rPr>
        <w:t>Why the MIN findings warranted in-iteration mitigation rather than deferral. The deferred mitigation policy permits deferral for 20-plus findings with explicit subsequent-iteration scheduling. This iteration's 12 MIN findings fall below the deferral threshold. The findings were also substantively ready for mitigation: each persona finding included specific guidance about what content the persona expected, which made the mitigation work scoped and tractable. Deferring would have left external evaluators reading a platform that knew about specific gaps and was choosing not to fix them, which would have eroded the credibility benefit the persona simulations were designed to surface.</w:t>
      </w:r>
    </w:p>
    <w:p>
      <w:pPr>
        <w:spacing w:after="240" w:before="480"/>
      </w:pPr>
      <w:r>
        <w:rPr>
          <w:rFonts w:ascii="Arial" w:cs="Arial" w:eastAsia="Arial" w:hAnsi="Arial"/>
          <w:b/>
          <w:bCs/>
          <w:color w:val="1F4E78"/>
          <w:sz w:val="36"/>
          <w:szCs w:val="36"/>
        </w:rPr>
        <w:t>Mitigations applied. Twelve substantial content additions were made across eight documents: a methodology section in the Federal Fiscal Impact Analysis covering projection architecture, parameter sources, headline assumptions, sensitivity considerations, and what the section does not provide; an international comparison section in Wage Floors as Tax Architecture covering UK National Living Wage, Australia Fair Work Commission, and Germany Mindestlohn approaches; a political-economy coalitional logic section in Coalition Walkthrough covering interests gain or lose, formation, durability, veto points, and implicit assumptions; pass-through prevention enforcement architecture in Federal Infrastructure Fee covering statutory language, FCC rule-making, and state PUC complementary authority; an exemption eligibility decision aid in Federal Infrastructure Fee for small businesses; a small-business calculator quick-start path in Federal Infrastructure Fee; phase transition trigger conditions and contingency treatment in Federal Infrastructure Fee Transition Mechanics; tribal consultation protocols in Emergency Services Communications; a small-business year-by-year transition timeline in What This Means For You; a healthcare transition frequently-asked-questions treatment in What This Means For You; explicit Social Security framing in What This Means For You; and concrete net-household-impact dollar figures for five representative household types in Does This Raise Taxes.</w:t>
      </w:r>
    </w:p>
    <w:p>
      <w:pPr>
        <w:spacing w:after="240" w:before="480"/>
      </w:pPr>
      <w:r>
        <w:rPr>
          <w:rFonts w:ascii="Arial" w:cs="Arial" w:eastAsia="Arial" w:hAnsi="Arial"/>
          <w:b/>
          <w:bCs/>
          <w:color w:val="1F4E78"/>
          <w:sz w:val="36"/>
          <w:szCs w:val="36"/>
        </w:rPr>
        <w:t>Backfill of one MIN finding. The PUBLIC-PURPOSE-EXEMPTION-AMBIGUOUS finding from the tribal-officer persona was actually addressed by the v3.1.1 Tribal Sovereignty section in Federal Infrastructure Fee, which explicitly states that tribal-government-owned and tribal-enterprise telecommunications providers qualify for the public-purpose exemption. v3.1.6 backfills this as a Section 47 PERSONA-MIN-7 entry with documentation that mitigation occurred in v3.1.1; the entry is included for tracking completeness rather than because new mitigation work was required.</w:t>
      </w:r>
    </w:p>
    <w:p>
      <w:pPr>
        <w:pStyle w:val="Heading1"/>
      </w:pPr>
      <w:r>
        <w:t>Section 81: Fresh Angle Results</w:t>
      </w:r>
    </w:p>
    <w:p>
      <w:pPr>
        <w:spacing w:after="240" w:before="480"/>
      </w:pPr>
      <w:r>
        <w:rPr>
          <w:rFonts w:ascii="Arial" w:cs="Arial" w:eastAsia="Arial" w:hAnsi="Arial"/>
          <w:b/>
          <w:bCs/>
          <w:color w:val="1F4E78"/>
          <w:sz w:val="36"/>
          <w:szCs w:val="36"/>
        </w:rPr>
        <w:t>Two fresh audit angles were applied in this iteration. Angle A scanned for outdated headline figures or rate variations not currently covered by META_TRIGGER_PATTERNS. The scan looked at healthcare per-capita figures, Sovereign Fund accumulation figures, wage-floor figures, and healthcare contribution rate patterns. Multiple variant figures appeared in the scan but context inspection showed they were all legitimate rather than outdated: the per-capita variants were all canonical or part of future projections; the Sovereign Fund variants were different scenarios or time horizons; the rate pattern variants were either historical references in the Open Issues Registry and Package Version document (legitimately documenting pre-canonical history) or different programs (the Community Contribution Plan uses FICA-convention rate splits that differ from the Universal Healthcare Model split). The angle returned no real findings.</w:t>
      </w:r>
    </w:p>
    <w:p>
      <w:pPr>
        <w:spacing w:after="240" w:before="480"/>
      </w:pPr>
      <w:r>
        <w:rPr>
          <w:rFonts w:ascii="Arial" w:cs="Arial" w:eastAsia="Arial" w:hAnsi="Arial"/>
          <w:b/>
          <w:bCs/>
          <w:color w:val="1F4E78"/>
          <w:sz w:val="36"/>
          <w:szCs w:val="36"/>
        </w:rPr>
        <w:t>Angle B checked cross-document numeric consistency for canonical platform figures. The angle confirmed that the canonical figures used across multiple documents agree: the Sovereign Fund 60-year accumulation base case appears consistently across nine documents outside the registries; the 4 percent return scenario figure appears consistently across six documents; the healthcare per-capita Year 15 target appears consistently across ten documents; the canonical healthcare per-capita baseline appears consistently across seven documents; the universal healthcare contribution rate components appear consistently across twelve documents. No cross-document numeric inconsistencies were surfaced.</w:t>
      </w:r>
    </w:p>
    <w:p>
      <w:pPr>
        <w:spacing w:after="240" w:before="480"/>
      </w:pPr>
      <w:r>
        <w:rPr>
          <w:rFonts w:ascii="Arial" w:cs="Arial" w:eastAsia="Arial" w:hAnsi="Arial"/>
          <w:b/>
          <w:bCs/>
          <w:color w:val="1F4E78"/>
          <w:sz w:val="36"/>
          <w:szCs w:val="36"/>
        </w:rPr>
        <w:t>What both fresh angles together reveal. The clean returns from both angles indicate that the platform's substantive content has stabilized at the level of figures and rate references. Earlier iterations produced the figure stability through targeted mitigations (the v2.30 family of iterations addressing the OIR Section 73 contribution rate canonicalization, the FFIA sourcing extensions, and the historical-figure pattern codification in META_TRIGGER_PATTERNS). v3.1.6's clean fresh-angle returns validate that the stabilization held through subsequent content additions. The lesson for future iterations is that the audit infrastructure for figure-stability is now adequate; future fresh angles in this domain are likely to surface only edge cases rather than systematic gaps.</w:t>
      </w:r>
    </w:p>
    <w:p>
      <w:pPr>
        <w:pStyle w:val="Heading1"/>
      </w:pPr>
      <w:r>
        <w:t>Section 81: Standing Rule 1 Catch and Documentation</w:t>
      </w:r>
    </w:p>
    <w:p>
      <w:pPr>
        <w:spacing w:after="240" w:before="480"/>
      </w:pPr>
      <w:r>
        <w:rPr>
          <w:rFonts w:ascii="Arial" w:cs="Arial" w:eastAsia="Arial" w:hAnsi="Arial"/>
          <w:b/>
          <w:bCs/>
          <w:color w:val="1F4E78"/>
          <w:sz w:val="36"/>
          <w:szCs w:val="36"/>
        </w:rPr>
        <w:t>An iteration discipline incident occurred in Phase 2A and was caught by the post-mitigation audit. Two new content sections added to the Coalition Walkthrough document used platform internal acronyms (Federal Infrastructure Fee and Open Issues Registry shorthand) without their full forms appearing in the document. The expanded-acronyms audit surfaced both findings; the Standing Rule 1 re-loop applied first-use definition fixes in the document. The incident illustrates that even content written carefully for substantive quality can produce audit findings if the writer does not internalize the discipline that first uses of registered acronyms require expansion. The platform's response is the audit discipline: the auto-check and expanded-scope audits caught the findings, the re-loop fixed them, and v3.1.6 ships clean.</w:t>
      </w:r>
    </w:p>
    <w:p>
      <w:pPr>
        <w:pStyle w:val="Heading1"/>
      </w:pPr>
      <w:r>
        <w:t>Section 81: Section 47 Expansion and Status Update</w:t>
      </w:r>
    </w:p>
    <w:p>
      <w:pPr>
        <w:spacing w:after="240" w:before="480"/>
      </w:pPr>
      <w:r>
        <w:rPr>
          <w:rFonts w:ascii="Arial" w:cs="Arial" w:eastAsia="Arial" w:hAnsi="Arial"/>
          <w:b/>
          <w:bCs/>
          <w:color w:val="1F4E78"/>
          <w:sz w:val="36"/>
          <w:szCs w:val="36"/>
        </w:rPr>
        <w:t>Section 47 expanded from 33 items to 46 items in v3.1.6. Thirteen new items were added: PERSONA-MIN-1 through PERSONA-MIN-13, covering the 12 mitigated MIN findings from v3.1.0 personas P2-P6 plus the one MIN finding backfilled to its v3.1.1 mitigation. All 13 new items are CLOSED and Mitigated=Y. Section 47 status moves from 33 Y / 0 N out of 33 to 46 Y / 0 N out of 46. Item Status distribution moves from 25 CLOSED / 8 OPEN to 38 CLOSED / 8 OPEN; the 8 OPEN items remain unchanged from previous iterations and represent items requiring external engagement or independent expertise that the platform's lead author cannot provide alone.</w:t>
      </w:r>
    </w:p>
    <w:p>
      <w:pPr>
        <w:spacing w:after="240" w:before="480"/>
      </w:pPr>
      <w:r>
        <w:rPr>
          <w:rFonts w:ascii="Arial" w:cs="Arial" w:eastAsia="Arial" w:hAnsi="Arial"/>
          <w:b/>
          <w:bCs/>
          <w:color w:val="1F4E78"/>
          <w:sz w:val="36"/>
          <w:szCs w:val="36"/>
        </w:rPr>
        <w:t>What v3.1.6 does NOT change. The Mitigated and Item Status criteria adopted in v3.1.2 remain in force without revision. The 8 OPEN items unchanged from v3.1.5: external engagement items for tribal nation consultation, healthcare-economics review, regulatory-architecture review, labor-economics review, fiscal methodology peer review, capital-markets review, constitutional-law review, and IT-security review. The audit infrastructure from v3.1.4 and v3.1.5 (three layers, three expanded-scope audits, ACRONYMS_REGISTRY at 72 entries, META_TRIGGER_PATTERNS at six patterns, ACRONYMS_SCAN_EXCLUDE at six files) is unchanged in structure. Substantive fixes from prior iterations are preserved (canonical figures intact across documents, capitalization sweep intact, FIF Regulatory Architecture and Tribal Sovereignty sections preserved, no rate-format regressions, manifesto sourcing intact).</w:t>
      </w:r>
    </w:p>
    <w:p>
      <w:pPr>
        <w:pStyle w:val="Heading1"/>
      </w:pPr>
      <w:r>
        <w:t>Section 81: Iteration Discipline and Future Direction</w:t>
      </w:r>
    </w:p>
    <w:p>
      <w:pPr>
        <w:spacing w:after="240" w:before="480"/>
      </w:pPr>
      <w:r>
        <w:rPr>
          <w:rFonts w:ascii="Arial" w:cs="Arial" w:eastAsia="Arial" w:hAnsi="Arial"/>
          <w:b/>
          <w:bCs/>
          <w:color w:val="1F4E78"/>
          <w:sz w:val="36"/>
          <w:szCs w:val="36"/>
        </w:rPr>
        <w:t>v3.1.6 used the four-phase cycle. Phase 1 audit_script.py was clean; Phase 1.2 fresh angles surfaced no real findings (both scans returned clean). Phase 1.3 enumeration of persona MIN findings identified 12 mitigations to apply (one finding having been mitigated in v3.1.1, requiring backfill rather than new work). Phase 2A applied 12 substantial content additions across 8 documents, totaling roughly 117 paragraphs of new content. Phase 2B handled the Standing Rule 1 catch (two acronym findings in the new Coalition Walkthrough content). Phase 2C added 13 PERSONA-MIN entries to Section 47. Phase 3 verified clean state across audit, validation, regression, and spot-check dimensions. Phase 4 documents the iteration here.</w:t>
      </w:r>
    </w:p>
    <w:p>
      <w:pPr>
        <w:spacing w:after="240" w:before="480"/>
      </w:pPr>
      <w:r>
        <w:rPr>
          <w:rFonts w:ascii="Arial" w:cs="Arial" w:eastAsia="Arial" w:hAnsi="Arial"/>
          <w:b/>
          <w:bCs/>
          <w:color w:val="1F4E78"/>
          <w:sz w:val="36"/>
          <w:szCs w:val="36"/>
        </w:rPr>
        <w:t>Future direction. The persona MIN backlog from v3.1.0 is now fully cleared. Possible next directions for subsequent iterations: extending the persona simulation set (P7 onward) to surface additional perspectives the existing simulations did not capture; running fresh angles in additional dimensions (cross-document terminology consistency, manifest entry consistency, TOC consistency); external engagement initiation for the 8 OPEN Section 47 items; further audit script extension for additional completeness checks; or substantive new content development in areas the platform has not yet covered. The platform is structurally stable at the v3.1.6 baseline and ready for external review at the level the lead author can substantiate.</w:t>
      </w:r>
    </w:p>
    <w:p>
      <w:pPr>
        <w:pStyle w:val="Heading1"/>
      </w:pPr>
      <w:r>
        <w:t>Section 82: v3.1.7 Audit Script Extension for Section 47 and OIR Reference Integrity</w:t>
      </w:r>
    </w:p>
    <w:p>
      <w:pPr>
        <w:spacing w:after="240" w:before="480"/>
      </w:pPr>
      <w:r>
        <w:rPr>
          <w:rFonts w:ascii="Arial" w:cs="Arial" w:eastAsia="Arial" w:hAnsi="Arial"/>
          <w:b/>
          <w:bCs/>
          <w:color w:val="1F4E78"/>
          <w:sz w:val="36"/>
          <w:szCs w:val="36"/>
        </w:rPr>
        <w:t>v3.1.7 extends the audit script with three new completeness checks covering Section 47 internal consistency and OIR cross-reference integrity. The extension follows the v3.1.4 pattern of codifying audit checks for systematic completeness verification: an issue class that warranted manual verification in earlier iterations becomes a permanent automated check. v3.1.7 surfaced no real findings (all three new checks return clean) and adds the checks to the audit infrastructure for continuous protection against future regressions.</w:t>
      </w:r>
    </w:p>
    <w:p>
      <w:pPr>
        <w:spacing w:after="240" w:before="480"/>
      </w:pPr>
      <w:r>
        <w:rPr>
          <w:rFonts w:ascii="Arial" w:cs="Arial" w:eastAsia="Arial" w:hAnsi="Arial"/>
          <w:b/>
          <w:bCs/>
          <w:color w:val="1F4E78"/>
          <w:sz w:val="36"/>
          <w:szCs w:val="36"/>
        </w:rPr>
        <w:t>Why three new checks. Phase 1.2 fresh angle prototyping evaluated three candidate completeness checks: Section 47 ID reference integrity (do narrative documents reference Section 47 IDs that exist?); Section 47 row consistency (are Section 47 table rows well-formed with non-empty fields and valid status values?); and OIR Section reference integrity (do narrative documents reference OIR Section numbers within the valid range?). All three prototype scans returned clean, indicating that the underlying invariants currently hold. The decision to codify all three rather than just the ones that surfaced findings follows the v3.1.4 logic: codification's value is in continuous future protection, not just in current-iteration findings.</w:t>
      </w:r>
    </w:p>
    <w:p>
      <w:pPr>
        <w:spacing w:after="240" w:before="480"/>
      </w:pPr>
      <w:r>
        <w:rPr>
          <w:rFonts w:ascii="Arial" w:cs="Arial" w:eastAsia="Arial" w:hAnsi="Arial"/>
          <w:b/>
          <w:bCs/>
          <w:color w:val="1F4E78"/>
          <w:sz w:val="36"/>
          <w:szCs w:val="36"/>
        </w:rPr>
        <w:t>Check 1: Section 47 ID reference integrity</w:t>
      </w:r>
    </w:p>
    <w:p>
      <w:pPr>
        <w:spacing w:after="240" w:before="480"/>
      </w:pPr>
      <w:r>
        <w:rPr>
          <w:rFonts w:ascii="Arial" w:cs="Arial" w:eastAsia="Arial" w:hAnsi="Arial"/>
          <w:b/>
          <w:bCs/>
          <w:color w:val="1F4E78"/>
          <w:sz w:val="36"/>
          <w:szCs w:val="36"/>
        </w:rPr>
        <w:t>The first new check scans non-excluded narrative documents for references to Section 47 IDs (matching patterns like PROCESS-N, RESEARCH-N, OPEN-N, ITEMXX-QY, PERSONA-SIG-N, PERSONA-MIN-N, PROC-IMP-N, CON-N, SCOPE-N, plus reserved patterns COVERAGE-N, EXEMPTION-N, EVOLUTION-N, AUDIT-N for future use). The check verifies each found reference exists in the current Section 47 table. References to non-existent IDs surface as MIN findings with type STALE-SECTION-47-REF. The exclusion list covers documents that legitimately reference IDs in non-mitigation contexts: the OIR itself, the harden cycle documentation, the Package Version document changelog, the persona simulations document, and the reader path synthesis and scoping documents. Files added to the registry of recognized prefixes can be extended in future iterations as new prefixes appear in Section 47.</w:t>
      </w:r>
    </w:p>
    <w:p>
      <w:pPr>
        <w:spacing w:after="240" w:before="480"/>
      </w:pPr>
      <w:r>
        <w:rPr>
          <w:rFonts w:ascii="Arial" w:cs="Arial" w:eastAsia="Arial" w:hAnsi="Arial"/>
          <w:b/>
          <w:bCs/>
          <w:color w:val="1F4E78"/>
          <w:sz w:val="36"/>
          <w:szCs w:val="36"/>
        </w:rPr>
        <w:t>Check 2: Section 47 row consistency</w:t>
      </w:r>
    </w:p>
    <w:p>
      <w:pPr>
        <w:spacing w:after="240" w:before="480"/>
      </w:pPr>
      <w:r>
        <w:rPr>
          <w:rFonts w:ascii="Arial" w:cs="Arial" w:eastAsia="Arial" w:hAnsi="Arial"/>
          <w:b/>
          <w:bCs/>
          <w:color w:val="1F4E78"/>
          <w:sz w:val="36"/>
          <w:szCs w:val="36"/>
        </w:rPr>
        <w:t>The second new check inspects each Section 47 table row for well-formedness. Each row should have a non-empty ID, a non-empty description, a Status value starting with CLOSED or OPEN, a non-empty Mitigated value, and not have CLOSED status with N Mitigated (which would violate the v3.1.2 criterion that CLOSED items must have Y or substantive mitigation text). The check also catches duplicate IDs across rows. Findings surface as MIN with type SECTION-47-MALFORMED. The check codifies the structural discipline established by the v3.1.2 criterion refinement: Section 47 is the platform's discipline mechanism for tracking issues, and rows that violate the structural expectations would compromise the discipline itself. The check is the audit-infrastructure equivalent of code linting for the Section 47 table.</w:t>
      </w:r>
    </w:p>
    <w:p>
      <w:pPr>
        <w:spacing w:after="240" w:before="480"/>
      </w:pPr>
      <w:r>
        <w:rPr>
          <w:rFonts w:ascii="Arial" w:cs="Arial" w:eastAsia="Arial" w:hAnsi="Arial"/>
          <w:b/>
          <w:bCs/>
          <w:color w:val="1F4E78"/>
          <w:sz w:val="36"/>
          <w:szCs w:val="36"/>
        </w:rPr>
        <w:t>Check 3: OIR Section reference integrity</w:t>
      </w:r>
    </w:p>
    <w:p>
      <w:pPr>
        <w:spacing w:after="240" w:before="480"/>
      </w:pPr>
      <w:r>
        <w:rPr>
          <w:rFonts w:ascii="Arial" w:cs="Arial" w:eastAsia="Arial" w:hAnsi="Arial"/>
          <w:b/>
          <w:bCs/>
          <w:color w:val="1F4E78"/>
          <w:sz w:val="36"/>
          <w:szCs w:val="36"/>
        </w:rPr>
        <w:t>The third new check scans narrative documents for references to OIR Sections (matching patterns like 'Section 81', 'OIR Section 81') where the section number exceeds the current maximum section number. References to non-existent OIR sections (typically arising from typos or out-of-date references) surface as MIN findings with type STALE-OIR-SECTION-REF. The check uses contextual heuristics to identify references that are clearly OIR sections rather than within-document section numbers; specifically, the surrounding text must contain 'OIR' or 'Open Issues Registry' to qualify the reference as OIR-specific. The current maximum is computed dynamically from the OIR by scanning for Heading 1 styles matching 'Section N'.</w:t>
      </w:r>
    </w:p>
    <w:p>
      <w:pPr>
        <w:spacing w:after="240" w:before="480"/>
      </w:pPr>
      <w:r>
        <w:rPr>
          <w:rFonts w:ascii="Arial" w:cs="Arial" w:eastAsia="Arial" w:hAnsi="Arial"/>
          <w:b/>
          <w:bCs/>
          <w:color w:val="1F4E78"/>
          <w:sz w:val="36"/>
          <w:szCs w:val="36"/>
        </w:rPr>
        <w:t>Audit script structure changes</w:t>
      </w:r>
    </w:p>
    <w:p>
      <w:pPr>
        <w:spacing w:after="240" w:before="480"/>
      </w:pPr>
      <w:r>
        <w:rPr>
          <w:rFonts w:ascii="Arial" w:cs="Arial" w:eastAsia="Arial" w:hAnsi="Arial"/>
          <w:b/>
          <w:bCs/>
          <w:color w:val="1F4E78"/>
          <w:sz w:val="36"/>
          <w:szCs w:val="36"/>
        </w:rPr>
        <w:t>audit_script.py grew from 35,744 bytes to 47,415 bytes with the additions. The new module-level constants are SECTION_47_ID_PATTERNS (13 prefix patterns), SECTION_47_ID_REGEX (compiled regex), and SECTION_47_REF_SCAN_EXCLUDE (6 excluded files). The new helper functions are get_section_47_ids and get_oir_max_section. The new audit functions are audit_section_47_id_references, audit_section_47_row_consistency, and audit_oir_section_references. All three new audit functions follow the structured-tuple return convention used elsewhere in the script (severity, type, location, description). Wiring into main() adds three lines reporting the per-check finding counts and extending all_findings with the new findings.</w:t>
      </w:r>
    </w:p>
    <w:p>
      <w:pPr>
        <w:spacing w:after="240" w:before="480"/>
      </w:pPr>
      <w:r>
        <w:rPr>
          <w:rFonts w:ascii="Arial" w:cs="Arial" w:eastAsia="Arial" w:hAnsi="Arial"/>
          <w:b/>
          <w:bCs/>
          <w:color w:val="1F4E78"/>
          <w:sz w:val="36"/>
          <w:szCs w:val="36"/>
        </w:rPr>
        <w:t>Why this codification matters</w:t>
      </w:r>
    </w:p>
    <w:p>
      <w:pPr>
        <w:spacing w:after="240" w:before="480"/>
      </w:pPr>
      <w:r>
        <w:rPr>
          <w:rFonts w:ascii="Arial" w:cs="Arial" w:eastAsia="Arial" w:hAnsi="Arial"/>
          <w:b/>
          <w:bCs/>
          <w:color w:val="1F4E78"/>
          <w:sz w:val="36"/>
          <w:szCs w:val="36"/>
        </w:rPr>
        <w:t>Section 47 has grown from earlier baseline counts to 46 entries in v3.1.6, with future expansion expected as new findings emerge from external review and additional persona simulations. Without automated reference-integrity checking, stale references to retired or renumbered IDs would accumulate silently. Without automated row consistency checking, malformed rows could enter Section 47 without surfacing until a downstream consumer encountered the malformation. Without automated OIR section reference checking, references to retired or non-existent OIR sections would accumulate as the OIR grows section by section. Codification protects against these classes of issues continuously rather than only when an iteration happens to look for them.</w:t>
      </w:r>
    </w:p>
    <w:p>
      <w:pPr>
        <w:spacing w:after="240" w:before="480"/>
      </w:pPr>
      <w:r>
        <w:rPr>
          <w:rFonts w:ascii="Arial" w:cs="Arial" w:eastAsia="Arial" w:hAnsi="Arial"/>
          <w:b/>
          <w:bCs/>
          <w:color w:val="1F4E78"/>
          <w:sz w:val="36"/>
          <w:szCs w:val="36"/>
        </w:rPr>
        <w:t>What v3.1.7 does NOT change</w:t>
      </w:r>
    </w:p>
    <w:p>
      <w:pPr>
        <w:spacing w:after="240" w:before="480"/>
      </w:pPr>
      <w:r>
        <w:rPr>
          <w:rFonts w:ascii="Arial" w:cs="Arial" w:eastAsia="Arial" w:hAnsi="Arial"/>
          <w:b/>
          <w:bCs/>
          <w:color w:val="1F4E78"/>
          <w:sz w:val="36"/>
          <w:szCs w:val="36"/>
        </w:rPr>
        <w:t>Section 47 status remains 46 Y / 0 N out of 46 with Item Status distribution 38 CLOSED / 8 OPEN. The Mitigated and Item Status criteria from v3.1.2 remain in force. The audit infrastructure from v3.1.4 through v3.1.6 (three layers, expanded-scope audits, ACRONYMS_REGISTRY at 72 entries, META_TRIGGER_PATTERNS at 6 patterns) is unchanged in structure; only the new audit functions are added. Substantive content from prior iterations is preserved (canonical figures intact, capitalization sweep intact, FIF Regulatory Architecture and Tribal Sovereignty sections preserved, persona MIN mitigations from v3.1.6 intact, manifesto sourcing intact, no rate-format regressions). Manifest unchanged at 84 = 84.</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v3.1.7 used the four-phase cycle. Phase 1 audit_script.py was clean. Phase 1.2 prototyped three candidate audit extensions; all three returned clean. The single false-positive surfaced by the initial Check 1 prototype (regex pattern ITEM digits matching the document item self-reference) was resolved by regex refinement before codification. Phase 2 codified all three checks as audit functions, added module-level constants, and wired into main. Phase 3 verified the script imports and executes correctly, the new functions return expected results directly, and the standard audit run still passes. Phase 4 documents the iteration here.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The audit infrastructure now covers structural integrity, auto-check on latest narratives, three expanded-scope information scans, undefined-acronym detection with 72-entry registry, and three Section 47 / OIR cross-reference integrity checks. Possible next directions: extending checks to terminology consistency (synonyms used inconsistently across documents); extending to manifest-entry consistency (per-document version references in manifest match the actual document version headers); extending to TOC consistency (table of contents matches actual file list); persona simulation set extension (P7 onward); substantive new content development; and external engagement initiation for the 8 OPEN Section 47 items.</w:t>
      </w:r>
    </w:p>
    <w:p>
      <w:pPr>
        <w:pStyle w:val="Heading1"/>
      </w:pPr>
      <w:r>
        <w:t>Section 83: v3.1.8 Persona Simulation Set Extension (P7 through P11)</w:t>
      </w:r>
    </w:p>
    <w:p>
      <w:pPr>
        <w:spacing w:after="240" w:before="480"/>
      </w:pPr>
      <w:r>
        <w:rPr>
          <w:rFonts w:ascii="Arial" w:cs="Arial" w:eastAsia="Arial" w:hAnsi="Arial"/>
          <w:b/>
          <w:bCs/>
          <w:color w:val="1F4E78"/>
          <w:sz w:val="36"/>
          <w:szCs w:val="36"/>
        </w:rPr>
        <w:t>v3.1.8 extends the persona-based reading-path simulation set with five additional personas (P7 through P11) covering perspectives the original v3.1.0 P2-P6 set did not capture: healthcare provider operational reality, constitutional law substantive review, state-level fiscal and operational implications, institutional-investor evaluation, and self-employment specifics. The new simulations are documented in 05_Persona_Simulations_P7_P11.docx, parallel in format to the existing P2-P6 document. The new doc's findings are tracked as PERSONA-SIG-3 through PERSONA-SIG-5 and PERSONA-MIN-14 through PERSONA-MIN-27 in Section 47.</w:t>
      </w:r>
    </w:p>
    <w:p>
      <w:pPr>
        <w:spacing w:after="240" w:before="480"/>
      </w:pPr>
      <w:r>
        <w:rPr>
          <w:rFonts w:ascii="Arial" w:cs="Arial" w:eastAsia="Arial" w:hAnsi="Arial"/>
          <w:b/>
          <w:bCs/>
          <w:color w:val="1F4E78"/>
          <w:sz w:val="36"/>
          <w:szCs w:val="36"/>
        </w:rPr>
        <w:t>Why these five personas. The P2-P6 set covered policy professional, telecommunications industry, tribal infrastructure, small business owner, and concerned citizen perspectives. Each provided substantial value but the set had identifiable coverage gaps in three dimensions: domain-expert perspectives in healthcare and capital markets (the P3 telecom-industry persona covered one industry but not others); legal-architecture review (no constitutional or federalism perspective); and self-employment as distinct from small-business-with-employees. The P7-P11 set was constructed to fill these specific gaps. Each new persona has a defined reading path through real platform documents, defined concerns, and findings labeled per the SIG/MIN/OBS convention.</w:t>
      </w:r>
    </w:p>
    <w:p>
      <w:pPr>
        <w:spacing w:after="240" w:before="480"/>
      </w:pPr>
      <w:r>
        <w:rPr>
          <w:rFonts w:ascii="Arial" w:cs="Arial" w:eastAsia="Arial" w:hAnsi="Arial"/>
          <w:b/>
          <w:bCs/>
          <w:color w:val="1F4E78"/>
          <w:sz w:val="36"/>
          <w:szCs w:val="36"/>
        </w:rPr>
        <w:t>Findings produced by P7-P11</w:t>
      </w:r>
    </w:p>
    <w:p>
      <w:pPr>
        <w:spacing w:after="240" w:before="480"/>
      </w:pPr>
      <w:r>
        <w:rPr>
          <w:rFonts w:ascii="Arial" w:cs="Arial" w:eastAsia="Arial" w:hAnsi="Arial"/>
          <w:b/>
          <w:bCs/>
          <w:color w:val="1F4E78"/>
          <w:sz w:val="36"/>
          <w:szCs w:val="36"/>
        </w:rPr>
        <w:t>The five new persona simulations produced 25 findings total: 3 SIG, 14 MIN, and 8 OBS. The 3 SIG findings are the highest-stakes outputs of the simulation set: provider payment rate-setting mechanism specification needed for healthcare-provider engagement evaluation; direct tax clause analysis depth needed for the wealth-surcharge architecture; and Sovereign Fund investment policy framework specificity needed for institutional-investor review. All three SIG findings reflect domains where the platform's lead author appropriately defers to external expertise (medicine, constitutional law, institutional finance); the findings are depth gaps within the platform's stated external-review framework rather than gaps in acknowledgment that external review is needed.</w:t>
      </w:r>
    </w:p>
    <w:p>
      <w:pPr>
        <w:spacing w:after="240" w:before="480"/>
      </w:pPr>
      <w:r>
        <w:rPr>
          <w:rFonts w:ascii="Arial" w:cs="Arial" w:eastAsia="Arial" w:hAnsi="Arial"/>
          <w:b/>
          <w:bCs/>
          <w:color w:val="1F4E78"/>
          <w:sz w:val="36"/>
          <w:szCs w:val="36"/>
        </w:rPr>
        <w:t>The 14 MIN findings cluster around three patterns. First, operational-detail gaps: provider EHR integration, specialty referral process, malpractice treatment, state implementation timeline, multi-employer gig-worker treatment, quarterly payment integration. Second, cross-domain interaction analysis: federalism preemption analysis, market impact at scale, pension fund coexistence, federal-state data sharing. Third, contribution-mechanism specifics: self-employed treatment under FICA-convention analogue, takings-clause analysis for stranded-asset acquisition. The 8 OBS findings note positive design choices preserved from earlier iterations: dedicated supporting documents (State Level Cooperation Requirements, Sovereign Fund Governance Design, Universal Mental Health Access Substantiation), the OIR discipline acknowledging external-review needs (CON items, OPEN-2), the v3.1.6 Healthcare FAQ resolving high-anxiety topics, and the structural favorability of universal coverage and Sovereign Fund architecture for non-W-2 workers.</w:t>
      </w:r>
    </w:p>
    <w:p>
      <w:pPr>
        <w:spacing w:after="240" w:before="480"/>
      </w:pPr>
      <w:r>
        <w:rPr>
          <w:rFonts w:ascii="Arial" w:cs="Arial" w:eastAsia="Arial" w:hAnsi="Arial"/>
          <w:b/>
          <w:bCs/>
          <w:color w:val="1F4E78"/>
          <w:sz w:val="36"/>
          <w:szCs w:val="36"/>
        </w:rPr>
        <w:t>Section 47 status changes</w:t>
      </w:r>
    </w:p>
    <w:p>
      <w:pPr>
        <w:spacing w:after="240" w:before="480"/>
      </w:pPr>
      <w:r>
        <w:rPr>
          <w:rFonts w:ascii="Arial" w:cs="Arial" w:eastAsia="Arial" w:hAnsi="Arial"/>
          <w:b/>
          <w:bCs/>
          <w:color w:val="1F4E78"/>
          <w:sz w:val="36"/>
          <w:szCs w:val="36"/>
        </w:rPr>
        <w:t>Section 47 expanded from 46 items to 63 items in v3.1.8 with the addition of 17 new entries (3 PERSONA-SIG-3,4,5 plus 14 PERSONA-MIN-14 through PERSONA-MIN-27). Section 47 status changes from 46 Y / 0 N out of 46 to 49 Y / 14 N out of 63. Item Status distribution changes from 38 CLOSED / 8 OPEN to 38 CLOSED / 25 OPEN. The 17 new items are all OPEN; the 3 SIG items are OPEN with external-help acknowledgment (Mitigated=Y per the v3.1.2 criterion that allows OPEN items to have Y when external-review path is documented), and the 14 MIN items are OPEN N pending subsequent-iteration content development. The MIN items collectively represent a content-development backlog analogous to the v3.1.0 P2-P6 MIN backlog that v3.1.6 cleared in a single iteration.</w:t>
      </w:r>
    </w:p>
    <w:p>
      <w:pPr>
        <w:spacing w:after="240" w:before="480"/>
      </w:pPr>
      <w:r>
        <w:rPr>
          <w:rFonts w:ascii="Arial" w:cs="Arial" w:eastAsia="Arial" w:hAnsi="Arial"/>
          <w:b/>
          <w:bCs/>
          <w:color w:val="1F4E78"/>
          <w:sz w:val="36"/>
          <w:szCs w:val="36"/>
        </w:rPr>
        <w:t>Why the SIG findings are recorded as OPEN with external-help rather than mitigated in this iteration. Each SIG finding identifies a depth gap in a domain requiring external expertise: healthcare-economics expertise for provider payment rate-setting mechanism, constitutional-law expertise for direct tax clause analysis, institutional-investor expertise for Sovereign Fund investment policy framework. The platform's lead author cannot credibly substitute for these external experts, and the v3.1.2 Item Status criterion explicitly recognizes that OPEN items can be Mitigated=Y when external-review path is documented. The v3.1.8 entries follow this pattern: each PERSONA-SIG entry documents the external-review path explicitly. The findings are structurally complete in the sense the platform can offer without leaving the lead author's expertise scope.</w:t>
      </w:r>
    </w:p>
    <w:p>
      <w:pPr>
        <w:spacing w:after="240" w:before="480"/>
      </w:pPr>
      <w:r>
        <w:rPr>
          <w:rFonts w:ascii="Arial" w:cs="Arial" w:eastAsia="Arial" w:hAnsi="Arial"/>
          <w:b/>
          <w:bCs/>
          <w:color w:val="1F4E78"/>
          <w:sz w:val="36"/>
          <w:szCs w:val="36"/>
        </w:rPr>
        <w:t>Why MIN findings recorded as OPEN N rather than mitigated</w:t>
      </w:r>
    </w:p>
    <w:p>
      <w:pPr>
        <w:spacing w:after="240" w:before="480"/>
      </w:pPr>
      <w:r>
        <w:rPr>
          <w:rFonts w:ascii="Arial" w:cs="Arial" w:eastAsia="Arial" w:hAnsi="Arial"/>
          <w:b/>
          <w:bCs/>
          <w:color w:val="1F4E78"/>
          <w:sz w:val="36"/>
          <w:szCs w:val="36"/>
        </w:rPr>
        <w:t>The 14 MIN findings collectively represent substantial content-development work analogous in scale to the 14 MIN findings from the v3.1.0 P2-P6 simulations. The v3.1.6 iteration cleared that earlier MIN backlog through 12 substantial content additions across 8 documents totaling roughly 117 paragraphs. v3.1.8 could attempt a similar in-iteration mitigation, but the scope of the iteration as defined was the persona-set extension itself (adding the new simulations), not the mitigation of findings the extension surfaces. Per the deferred mitigation policy, defining explicit subsequent-iteration scheduling is the appropriate response when a finding set this size emerges from a single iteration. Each PERSONA-MIN entry documents the scheduled subsequent-iteration treatment.</w:t>
      </w:r>
    </w:p>
    <w:p>
      <w:pPr>
        <w:spacing w:after="240" w:before="480"/>
      </w:pPr>
      <w:r>
        <w:rPr>
          <w:rFonts w:ascii="Arial" w:cs="Arial" w:eastAsia="Arial" w:hAnsi="Arial"/>
          <w:b/>
          <w:bCs/>
          <w:color w:val="1F4E78"/>
          <w:sz w:val="36"/>
          <w:szCs w:val="36"/>
        </w:rPr>
        <w:t>Standing Rule 1 catch and resolution</w:t>
      </w:r>
    </w:p>
    <w:p>
      <w:pPr>
        <w:spacing w:after="240" w:before="480"/>
      </w:pPr>
      <w:r>
        <w:rPr>
          <w:rFonts w:ascii="Arial" w:cs="Arial" w:eastAsia="Arial" w:hAnsi="Arial"/>
          <w:b/>
          <w:bCs/>
          <w:color w:val="1F4E78"/>
          <w:sz w:val="36"/>
          <w:szCs w:val="36"/>
        </w:rPr>
        <w:t>Initial drafting of the persona simulations doc introduced two expanded-acronyms findings: FICA used twice without 'Federal Insurance Contributions Act' definition; PUC used three times without 'Public Utility Commission' definition. Both were caught by the audit's expanded-acronyms scan and fixed in the re-loop with first-use expansion. The discipline pattern is now consistent across iterations: writing new content introduces potential acronym findings; the audit's expanded-acronyms scan catches them; first-use expansion fixes them. v3.1.8 also produced a counting error in the cross-persona summary narrative (initially recorded 21 findings as 3 SIG + 11 MIN + 7 OBS when the actual finding count was 25 as 3 SIG + 14 MIN + 8 OBS); this was caught in Phase 2C when the Section 47 entries needed exact counts and was fixed by updating the summary to match the actual finding count.</w:t>
      </w:r>
    </w:p>
    <w:p>
      <w:pPr>
        <w:spacing w:after="240" w:before="480"/>
      </w:pPr>
      <w:r>
        <w:rPr>
          <w:rFonts w:ascii="Arial" w:cs="Arial" w:eastAsia="Arial" w:hAnsi="Arial"/>
          <w:b/>
          <w:bCs/>
          <w:color w:val="1F4E78"/>
          <w:sz w:val="36"/>
          <w:szCs w:val="36"/>
        </w:rPr>
        <w:t>What v3.1.8 does NOT change</w:t>
      </w:r>
    </w:p>
    <w:p>
      <w:pPr>
        <w:spacing w:after="240" w:before="480"/>
      </w:pPr>
      <w:r>
        <w:rPr>
          <w:rFonts w:ascii="Arial" w:cs="Arial" w:eastAsia="Arial" w:hAnsi="Arial"/>
          <w:b/>
          <w:bCs/>
          <w:color w:val="1F4E78"/>
          <w:sz w:val="36"/>
          <w:szCs w:val="36"/>
        </w:rPr>
        <w:t>The Mitigated and Item Status criteria from v3.1.2 remain in force. The audit infrastructure from v3.1.7 (three layers, expanded-scope audits, undefined-acronym detection, three Section 47 / OIR reference integrity checks) is unchanged in structure. ACRONYMS_REGISTRY remains at 72 entries. META_TRIGGER_PATTERNS remains at 6 patterns. SECTION_47_ID_PATTERNS remains at 13 entries. Substantive content from prior iterations is preserved (canonical figures intact, persona MIN mitigations from v3.1.6 intact, FIF v3.1.1 sections preserved). Manifest changes from 84 to 85 with the addition of the new persona doc; this is the only manifest change.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subsequent iteration to clear the PERSONA-MIN backlog (PERSONA-MIN-14 through PERSONA-MIN-27, 14 items, analogous to v3.1.6's clearing of the v3.1.0 P2-P6 MIN backlog); external engagement initiation for the PERSONA-SIG and CON and OPEN items requiring domain expertise; further fresh angle scans (cross-document terminology consistency, manifest entry consistency, TOC consistency); further audit script extension for additional completeness checks; or substantive new content development in areas the platform has not yet covered.</w:t>
      </w:r>
    </w:p>
    <w:p>
      <w:pPr>
        <w:pStyle w:val="Heading1"/>
      </w:pPr>
      <w:r>
        <w:t>Section 84: v3.1.9 Fresh Angles in Additional Dimensions</w:t>
      </w:r>
    </w:p>
    <w:p>
      <w:pPr>
        <w:spacing w:after="240" w:before="480"/>
      </w:pPr>
      <w:r>
        <w:rPr>
          <w:rFonts w:ascii="Arial" w:cs="Arial" w:eastAsia="Arial" w:hAnsi="Arial"/>
          <w:b/>
          <w:bCs/>
          <w:color w:val="1F4E78"/>
          <w:sz w:val="36"/>
          <w:szCs w:val="36"/>
        </w:rPr>
        <w:t>v3.1.9 applies three fresh audit angles in dimensions earlier iterations had not systematically scanned: cross-document terminology consistency, manifest entry version consistency, and table-of-contents consistency. The angle prototyping surfaced one real bug introduced in an earlier iteration plus five stale manifest version entries; the bug and the staleness were mitigated; two of the three checks were codified as permanent audit functions; the third was deferred due to false-positive risk.</w:t>
      </w:r>
    </w:p>
    <w:p>
      <w:pPr>
        <w:spacing w:after="240" w:before="480"/>
      </w:pPr>
      <w:r>
        <w:rPr>
          <w:rFonts w:ascii="Arial" w:cs="Arial" w:eastAsia="Arial" w:hAnsi="Arial"/>
          <w:b/>
          <w:bCs/>
          <w:color w:val="1F4E78"/>
          <w:sz w:val="36"/>
          <w:szCs w:val="36"/>
        </w:rPr>
        <w:t>Angle A: Cross-document terminology consistency (deferred codification)</w:t>
      </w:r>
    </w:p>
    <w:p>
      <w:pPr>
        <w:spacing w:after="240" w:before="480"/>
      </w:pPr>
      <w:r>
        <w:rPr>
          <w:rFonts w:ascii="Arial" w:cs="Arial" w:eastAsia="Arial" w:hAnsi="Arial"/>
          <w:b/>
          <w:bCs/>
          <w:color w:val="1F4E78"/>
          <w:sz w:val="36"/>
          <w:szCs w:val="36"/>
        </w:rPr>
        <w:t>Angle A scanned for canonical-term variants across all narrative documents. Specifically, the prototype counted occurrences of Sovereign Fund variants, Universal Healthcare variants, Federal Infrastructure Fee variants, and Wage Floor variants. The scan surfaced large counts of variant phrasings but on context inspection most variants were legitimate: Education Fund appearing 115 times in 28 files turned out to be part of Sovereign Education Fund (the platform's distinct education-specific pillar fund), not a deprecated synonym for Sovereign Fund. Lowercase forms of canonical capitalized terms were almost all legitimate mid-sentence usage rather than capitalization errors. The angle's scan logic produces too many false positives to codify as a routine audit check; codification deferred for further design work or applied only to specific known-issue patterns. The angle returned no real findings to mitigate.</w:t>
      </w:r>
    </w:p>
    <w:p>
      <w:pPr>
        <w:spacing w:after="240" w:before="480"/>
      </w:pPr>
      <w:r>
        <w:rPr>
          <w:rFonts w:ascii="Arial" w:cs="Arial" w:eastAsia="Arial" w:hAnsi="Arial"/>
          <w:b/>
          <w:bCs/>
          <w:color w:val="1F4E78"/>
          <w:sz w:val="36"/>
          <w:szCs w:val="36"/>
        </w:rPr>
        <w:t>Angle B: Manifest entry version consistency (codified)</w:t>
      </w:r>
    </w:p>
    <w:p>
      <w:pPr>
        <w:spacing w:after="240" w:before="480"/>
      </w:pPr>
      <w:r>
        <w:rPr>
          <w:rFonts w:ascii="Arial" w:cs="Arial" w:eastAsia="Arial" w:hAnsi="Arial"/>
          <w:b/>
          <w:bCs/>
          <w:color w:val="1F4E78"/>
          <w:sz w:val="36"/>
          <w:szCs w:val="36"/>
        </w:rPr>
        <w:t>Angle B scanned each manifest entry's version field against the doc's actual version line. The prototype's initial regex was too permissive (matching version mentions inside narrative text, such as 'Engaging with Gemini's Review of v1.8' where v1.8 is the platform version under review, not the doc's own version). The refined regex matches only lines starting with vX.Y followed by a metadata indicator (the bullet character) which is the version-line metadata pattern used consistently across the platform's documents. The refined scan surfaced six real findings: one cell-corruption bug introduced in an earlier iteration when bumping the OIR manifest entry, plus five stale manifest version entries (manifest version older than doc's actual current version).</w:t>
      </w:r>
    </w:p>
    <w:p>
      <w:pPr>
        <w:spacing w:after="240" w:before="480"/>
      </w:pPr>
      <w:r>
        <w:rPr>
          <w:rFonts w:ascii="Arial" w:cs="Arial" w:eastAsia="Arial" w:hAnsi="Arial"/>
          <w:b/>
          <w:bCs/>
          <w:color w:val="1F4E78"/>
          <w:sz w:val="36"/>
          <w:szCs w:val="36"/>
        </w:rPr>
        <w:t>Cell-corruption finding mitigated. The Reader's Path Through Resolved Open Issues — Scoping Specification manifest row had cell zero containing three lines (title, scoping doc filename, OIR doc filename) instead of the expected two lines (title, scoping doc filename). The third line, OIR doc filename, was spurious; its presence caused earlier OIR-version-bumping code to match the Scoping row when looking for the OIR row (because the substring search for OIR doc filename matched both rows). This caused the Scoping row's cell one to be modified each time OIR version was bumped. Mitigation: the spurious third line was removed from the Scoping row's cell zero, and the Scoping row's cell one was reset to the doc's correct version. The bug was introduced in an earlier iteration and persisted through v3.1.4, v3.1.5, v3.1.6, v3.1.7, and v3.1.8 OIR version bumps.</w:t>
      </w:r>
    </w:p>
    <w:p>
      <w:pPr>
        <w:spacing w:after="240" w:before="480"/>
      </w:pPr>
      <w:r>
        <w:rPr>
          <w:rFonts w:ascii="Arial" w:cs="Arial" w:eastAsia="Arial" w:hAnsi="Arial"/>
          <w:b/>
          <w:bCs/>
          <w:color w:val="1F4E78"/>
          <w:sz w:val="36"/>
          <w:szCs w:val="36"/>
        </w:rPr>
        <w:t>Stale manifest entries mitigated. Five manifest entries had versions older than each doc's actual version: an Adjacent Pillars Under Development doc (manifest behind by one minor), an Identity Theft Reduction doc (manifest behind by two minors), a Free Universal Broadband Cost Analysis doc (manifest behind by two minors), a Two Paths Compared doc (manifest behind by one minor), and a Modernize Civic Engagement Integrated Argument doc (manifest behind by one minor). Each was the result of an earlier-iteration content update that bumped the doc's version line but did not correspondingly update the manifest entry. All five were updated to match the doc's actual version.</w:t>
      </w:r>
    </w:p>
    <w:p>
      <w:pPr>
        <w:spacing w:after="240" w:before="480"/>
      </w:pPr>
      <w:r>
        <w:rPr>
          <w:rFonts w:ascii="Arial" w:cs="Arial" w:eastAsia="Arial" w:hAnsi="Arial"/>
          <w:b/>
          <w:bCs/>
          <w:color w:val="1F4E78"/>
          <w:sz w:val="36"/>
          <w:szCs w:val="36"/>
        </w:rPr>
        <w:t>Codified as audit_manifest_version_consistency. The check extracts each manifest cell zero's filename references, locates the actual file in the package, reads the doc's metadata version line using the refined regex, and surfaces a MIN finding when the manifest version differs from the doc actual version. Codification protects future iterations from accumulating manifest staleness as docs are updated.</w:t>
      </w:r>
    </w:p>
    <w:p>
      <w:pPr>
        <w:spacing w:after="240" w:before="480"/>
      </w:pPr>
      <w:r>
        <w:rPr>
          <w:rFonts w:ascii="Arial" w:cs="Arial" w:eastAsia="Arial" w:hAnsi="Arial"/>
          <w:b/>
          <w:bCs/>
          <w:color w:val="1F4E78"/>
          <w:sz w:val="36"/>
          <w:szCs w:val="36"/>
        </w:rPr>
        <w:t>Angle C: TOC consistency (codified)</w:t>
      </w:r>
    </w:p>
    <w:p>
      <w:pPr>
        <w:spacing w:after="240" w:before="480"/>
      </w:pPr>
      <w:r>
        <w:rPr>
          <w:rFonts w:ascii="Arial" w:cs="Arial" w:eastAsia="Arial" w:hAnsi="Arial"/>
          <w:b/>
          <w:bCs/>
          <w:color w:val="1F4E78"/>
          <w:sz w:val="36"/>
          <w:szCs w:val="36"/>
        </w:rPr>
        <w:t>Angle C scanned the Platform Package TOC against actual files in the package. The TOC structure has each numbered entry as a single-cell single-row table with text matching the pattern 'N.  Title' followed by filename. The prototype found 81 numbered TOC entries with no missing numbers in the 1 through 81 range and no duplicate numbers, four files in package not in TOC, and zero TOC entries referencing non-existent files. The four files not in TOC are auxiliary analytical artifacts (persona simulations and reader-path documents) that have consistently been tracked in manifest only by convention. The convention is documented in the codified check via a TOC_EXCLUDE_FILES constant. The angle returned no real findings to mitigate.</w:t>
      </w:r>
    </w:p>
    <w:p>
      <w:pPr>
        <w:spacing w:after="240" w:before="480"/>
      </w:pPr>
      <w:r>
        <w:rPr>
          <w:rFonts w:ascii="Arial" w:cs="Arial" w:eastAsia="Arial" w:hAnsi="Arial"/>
          <w:b/>
          <w:bCs/>
          <w:color w:val="1F4E78"/>
          <w:sz w:val="36"/>
          <w:szCs w:val="36"/>
        </w:rPr>
        <w:t>Codified as audit_toc_consistency. The check verifies four invariants: TOC numbering is sequential (no missing numbers in the 1 through max range); no duplicate TOC entry numbers; every package file is in TOC unless excluded by convention; no TOC entry references a file not in the package. Each violation surfaces a distinct MIN finding type (TOC-NUMBERING-GAP, TOC-DUPLICATE-NUMBER, FILE-NOT-IN-TOC, TOC-FILE-MISSING). Codification protects future iterations as files are added or removed.</w:t>
      </w:r>
    </w:p>
    <w:p>
      <w:pPr>
        <w:spacing w:after="240" w:before="480"/>
      </w:pPr>
      <w:r>
        <w:rPr>
          <w:rFonts w:ascii="Arial" w:cs="Arial" w:eastAsia="Arial" w:hAnsi="Arial"/>
          <w:b/>
          <w:bCs/>
          <w:color w:val="1F4E78"/>
          <w:sz w:val="36"/>
          <w:szCs w:val="36"/>
        </w:rPr>
        <w:t>Audit script structure changes</w:t>
      </w:r>
    </w:p>
    <w:p>
      <w:pPr>
        <w:spacing w:after="240" w:before="480"/>
      </w:pPr>
      <w:r>
        <w:rPr>
          <w:rFonts w:ascii="Arial" w:cs="Arial" w:eastAsia="Arial" w:hAnsi="Arial"/>
          <w:b/>
          <w:bCs/>
          <w:color w:val="1F4E78"/>
          <w:sz w:val="36"/>
          <w:szCs w:val="36"/>
        </w:rPr>
        <w:t>audit_script.py grew from 47,415 bytes to 54,617 bytes with the additions. New module-level constant: TOC_EXCLUDE_FILES (4 currently-excluded files). New helper function: get_doc_version_from_metadata. New audit functions: audit_manifest_version_consistency and audit_toc_consistency. Both new audit functions follow the structured-tuple return convention. Wiring into main() adds two lines reporting per-check finding counts and extending all_findings.</w:t>
      </w:r>
    </w:p>
    <w:p>
      <w:pPr>
        <w:spacing w:after="240" w:before="480"/>
      </w:pPr>
      <w:r>
        <w:rPr>
          <w:rFonts w:ascii="Arial" w:cs="Arial" w:eastAsia="Arial" w:hAnsi="Arial"/>
          <w:b/>
          <w:bCs/>
          <w:color w:val="1F4E78"/>
          <w:sz w:val="36"/>
          <w:szCs w:val="36"/>
        </w:rPr>
        <w:t>Why two checks codified rather than three</w:t>
      </w:r>
    </w:p>
    <w:p>
      <w:pPr>
        <w:spacing w:after="240" w:before="480"/>
      </w:pPr>
      <w:r>
        <w:rPr>
          <w:rFonts w:ascii="Arial" w:cs="Arial" w:eastAsia="Arial" w:hAnsi="Arial"/>
          <w:b/>
          <w:bCs/>
          <w:color w:val="1F4E78"/>
          <w:sz w:val="36"/>
          <w:szCs w:val="36"/>
        </w:rPr>
        <w:t>Angle A (terminology consistency) was deferred from codification because the prototype's false-positive rate is high. Identifying platform-canonical terms in a way that distinguishes legitimate variants from inconsistencies requires more careful design than this iteration could supply. Possible approaches for future design work include: maintaining an explicit canonical-term registry analogous to ACRONYMS_REGISTRY, with each entry specifying the canonical form and explicitly-acceptable variants; restricting terminology checks to specific known-issue patterns surfaced by manual review; or applying terminology checks only at document-creation review rather than as routine audit. The angle remains open for future iterations to revisit with more design work.</w:t>
      </w:r>
    </w:p>
    <w:p>
      <w:pPr>
        <w:spacing w:after="240" w:before="480"/>
      </w:pPr>
      <w:r>
        <w:rPr>
          <w:rFonts w:ascii="Arial" w:cs="Arial" w:eastAsia="Arial" w:hAnsi="Arial"/>
          <w:b/>
          <w:bCs/>
          <w:color w:val="1F4E78"/>
          <w:sz w:val="36"/>
          <w:szCs w:val="36"/>
        </w:rPr>
        <w:t>What v3.1.9 does NOT change</w:t>
      </w:r>
    </w:p>
    <w:p>
      <w:pPr>
        <w:spacing w:after="240" w:before="480"/>
      </w:pPr>
      <w:r>
        <w:rPr>
          <w:rFonts w:ascii="Arial" w:cs="Arial" w:eastAsia="Arial" w:hAnsi="Arial"/>
          <w:b/>
          <w:bCs/>
          <w:color w:val="1F4E78"/>
          <w:sz w:val="36"/>
          <w:szCs w:val="36"/>
        </w:rPr>
        <w:t>Section 47 status remains 49 Y / 14 N out of 63 with Item Status distribution 38 CLOSED / 25 OPEN. The Mitigated and Item Status criteria from v3.1.2 remain in force. The audit infrastructure from v3.1.7 (three layers, three Section 47 / OIR reference integrity checks, ACRONYMS_REGISTRY at 72 entries) is unchanged in structure; only the new manifest version and TOC consistency functions are added. Substantive content from prior iterations is preserved (canonical figures intact, persona MIN mitigations from v3.1.6 intact, P7-P11 simulations from v3.1.8 intact). Manifest unchanged at 85 = 85.</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v3.1.9 used the four-phase cycle. Phase 1 audit_script.py was clean. Phase 1.2 prototyped three candidate audit angles; one returned no real findings (terminology), one surfaced a real cell-corruption bug plus five stale manifest entries (manifest version), one returned no real findings (TOC). Phase 2 fixed the cell corruption (cleaned spurious filename line, restored correct version), fixed the five stale manifest entries (updated manifest version to match doc actual version), codified the manifest version and TOC consistency checks as new audit functions, and deferred terminology consistency codification. Phase 3 verified clean state across all dimensions. Phase 4 documents the iteration here.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terminology consistency codification with careful canonical-term registry design; subsequent iteration to clear the PERSONA-MIN-14 through PERSONA-MIN-27 backlog from v3.1.8; external engagement initiation for OPEN Section 47 items requiring domain expertise; further audit script extension for additional completeness checks (cross-reference resolution within documents, semantic citation consistency, structural-element consistency); or substantive new content development.</w:t>
      </w:r>
    </w:p>
    <w:p>
      <w:pPr>
        <w:pStyle w:val="Heading1"/>
      </w:pPr>
      <w:r>
        <w:t>Section 85: v3.1.10 Substantive New Content for Self-Employed and Gig Workers</w:t>
      </w:r>
    </w:p>
    <w:p>
      <w:pPr>
        <w:spacing w:after="240" w:before="480"/>
      </w:pPr>
      <w:r>
        <w:rPr>
          <w:rFonts w:ascii="Arial" w:cs="Arial" w:eastAsia="Arial" w:hAnsi="Arial"/>
          <w:b/>
          <w:bCs/>
          <w:color w:val="1F4E78"/>
          <w:sz w:val="36"/>
          <w:szCs w:val="36"/>
        </w:rPr>
        <w:t>v3.1.10 develops new substantive content in an area not yet covered by a dedicated platform document: self-employed and gig-worker implementation specifics. The new document addresses three persona MIN findings from v3.1.8 collectively at architectural-intent level the platform's lead author can substantiate. The work was explicitly suggested in the v3.1.8 P11 self-employed persona simulation overall assessment, which noted that the platform would benefit from a dedicated short-form companion document for self-employed and gig workers.</w:t>
      </w:r>
    </w:p>
    <w:p>
      <w:pPr>
        <w:spacing w:after="240" w:before="480"/>
      </w:pPr>
      <w:r>
        <w:rPr>
          <w:rFonts w:ascii="Arial" w:cs="Arial" w:eastAsia="Arial" w:hAnsi="Arial"/>
          <w:b/>
          <w:bCs/>
          <w:color w:val="1F4E78"/>
          <w:sz w:val="36"/>
          <w:szCs w:val="36"/>
        </w:rPr>
        <w:t>Why a dedicated companion document</w:t>
      </w:r>
    </w:p>
    <w:p>
      <w:pPr>
        <w:spacing w:after="240" w:before="480"/>
      </w:pPr>
      <w:r>
        <w:rPr>
          <w:rFonts w:ascii="Arial" w:cs="Arial" w:eastAsia="Arial" w:hAnsi="Arial"/>
          <w:b/>
          <w:bCs/>
          <w:color w:val="1F4E78"/>
          <w:sz w:val="36"/>
          <w:szCs w:val="36"/>
        </w:rPr>
        <w:t>The platform's federal contribution architecture is described primarily through employer-employee split conventions throughout the main analytical documents. Workers who are self-employed, who work as independent contractors, or who earn gig-economy income through multiple platforms do not fit cleanly into the employer-employee framing. The v3.1.8 P11 persona simulation noted three specific gaps in self-employed and gig-worker treatment: contribution mechanism specification, multi-employer treatment for gig workers, and quarterly payment integration. Each of these is tractable at architectural-intent level (unlike the SIG findings from v3.1.8 which require external domain expertise the lead author appropriately defers to), so a dedicated companion document was the appropriate response.</w:t>
      </w:r>
    </w:p>
    <w:p>
      <w:pPr>
        <w:spacing w:after="240" w:before="480"/>
      </w:pPr>
      <w:r>
        <w:rPr>
          <w:rFonts w:ascii="Arial" w:cs="Arial" w:eastAsia="Arial" w:hAnsi="Arial"/>
          <w:b/>
          <w:bCs/>
          <w:color w:val="1F4E78"/>
          <w:sz w:val="36"/>
          <w:szCs w:val="36"/>
        </w:rPr>
        <w:t>The companion document approach was chosen over inline content additions to existing documents (the pattern v3.1.6 used for P2-P6 MIN clearance) for two reasons. First, the self-employed and gig-worker audience is identifiable and benefits from a dedicated document that addresses their specific concerns without requiring them to navigate multiple documents. Second, the content is cohesive enough to support a dedicated treatment but small enough not to duplicate existing main-document content. The dedicated document references and complements the Federal Income Tax Revenue Modified Architecture document, the What This Means For You document, and the Healthcare Transition Detailed Plan rather than duplicating their content.</w:t>
      </w:r>
    </w:p>
    <w:p>
      <w:pPr>
        <w:spacing w:after="240" w:before="480"/>
      </w:pPr>
      <w:r>
        <w:rPr>
          <w:rFonts w:ascii="Arial" w:cs="Arial" w:eastAsia="Arial" w:hAnsi="Arial"/>
          <w:b/>
          <w:bCs/>
          <w:color w:val="1F4E78"/>
          <w:sz w:val="36"/>
          <w:szCs w:val="36"/>
        </w:rPr>
        <w:t>Document structure and coverage</w:t>
      </w:r>
    </w:p>
    <w:p>
      <w:pPr>
        <w:spacing w:after="240" w:before="480"/>
      </w:pPr>
      <w:r>
        <w:rPr>
          <w:rFonts w:ascii="Arial" w:cs="Arial" w:eastAsia="Arial" w:hAnsi="Arial"/>
          <w:b/>
          <w:bCs/>
          <w:color w:val="1F4E78"/>
          <w:sz w:val="36"/>
          <w:szCs w:val="36"/>
        </w:rPr>
        <w:t>The new document covers seven main sections plus worked examples and cross-references. The Why This Document Exists section establishes the audience and the document's relationship to existing platform documents. The Self-Employed Contribution Mechanism section addresses the FICA-convention split applied to self-employment (parallel to existing self-employment FICA treatment) with a calculation walk-through, application to all platform contributions, and Schedule SE analogue treatment. The Gig Worker Multi-Employer Treatment section addresses the two structural approaches considered (worker-side self-administration default; optional platform-side collection for large platforms) and cross-platform aggregate threshold treatment. The Quarterly Payment Integration section addresses consolidated quarterly payment with existing Form 1040-ES, estimated tax computation under the platform, and safe harbor provisions extending to platform contributions.</w:t>
      </w:r>
    </w:p>
    <w:p>
      <w:pPr>
        <w:spacing w:after="240" w:before="480"/>
      </w:pPr>
      <w:r>
        <w:rPr>
          <w:rFonts w:ascii="Arial" w:cs="Arial" w:eastAsia="Arial" w:hAnsi="Arial"/>
          <w:b/>
          <w:bCs/>
          <w:color w:val="1F4E78"/>
          <w:sz w:val="36"/>
          <w:szCs w:val="36"/>
        </w:rPr>
        <w:t>Three additional substantive sections cover related topics. The Healthcare for Self-Employed and Gig Workers section addresses how the universal healthcare architecture eliminates the specific disadvantages self-employed workers face under the current system (no employer-sponsored coverage, expensive marketplace premiums, coverage gaps during income volatility) plus the premium tax credit interaction during the transition window. The Sovereign Fund Accumulation for Self-Employed and Gig Workers section addresses how the Sovereign Fund architecture provides retirement accumulation independent of employer structure, with accumulation beginning at platform launch through the Founding Stake and continuing through ongoing contributions on the same net-earnings base used for the FICA-convention split. Two worked examples demonstrate the architecture in operation: an independent contractor with single-source self-employment income, and a multi-platform gig worker with three concurrent income sources.</w:t>
      </w:r>
    </w:p>
    <w:p>
      <w:pPr>
        <w:spacing w:after="240" w:before="480"/>
      </w:pPr>
      <w:r>
        <w:rPr>
          <w:rFonts w:ascii="Arial" w:cs="Arial" w:eastAsia="Arial" w:hAnsi="Arial"/>
          <w:b/>
          <w:bCs/>
          <w:color w:val="1F4E78"/>
          <w:sz w:val="36"/>
          <w:szCs w:val="36"/>
        </w:rPr>
        <w:t>Section 47 status changes</w:t>
      </w:r>
    </w:p>
    <w:p>
      <w:pPr>
        <w:spacing w:after="240" w:before="480"/>
      </w:pPr>
      <w:r>
        <w:rPr>
          <w:rFonts w:ascii="Arial" w:cs="Arial" w:eastAsia="Arial" w:hAnsi="Arial"/>
          <w:b/>
          <w:bCs/>
          <w:color w:val="1F4E78"/>
          <w:sz w:val="36"/>
          <w:szCs w:val="36"/>
        </w:rPr>
        <w:t>Three Section 47 entries moved from OPEN with subsequent-iteration scheduling (Mitigated equals N) to CLOSED with v3.1.10 mitigation (Mitigated equals Y). PERSONA-MIN-25 is addressed by the Self-Employed Contribution Mechanism section. PERSONA-MIN-26 is addressed by the Gig Worker Multi-Employer Treatment section. PERSONA-MIN-27 is addressed by the Quarterly Payment Integration section. Section 47 status changes from 49 Y / 14 N out of 63 to 52 Y / 11 N out of 63. Item Status distribution changes from 38 CLOSED / 25 OPEN to 41 CLOSED / 22 OPEN. The remaining 11 PERSONA-MIN entries from v3.1.8 (MIN-14 through 24) remain OPEN with subsequent-iteration scheduling, and the 3 PERSONA-SIG entries remain OPEN with external-help acknowledgment per the v3.1.2 criterion.</w:t>
      </w:r>
    </w:p>
    <w:p>
      <w:pPr>
        <w:spacing w:after="240" w:before="480"/>
      </w:pPr>
      <w:r>
        <w:rPr>
          <w:rFonts w:ascii="Arial" w:cs="Arial" w:eastAsia="Arial" w:hAnsi="Arial"/>
          <w:b/>
          <w:bCs/>
          <w:color w:val="1F4E78"/>
          <w:sz w:val="36"/>
          <w:szCs w:val="36"/>
        </w:rPr>
        <w:t>Manifest and TOC expansion</w:t>
      </w:r>
    </w:p>
    <w:p>
      <w:pPr>
        <w:spacing w:after="240" w:before="480"/>
      </w:pPr>
      <w:r>
        <w:rPr>
          <w:rFonts w:ascii="Arial" w:cs="Arial" w:eastAsia="Arial" w:hAnsi="Arial"/>
          <w:b/>
          <w:bCs/>
          <w:color w:val="1F4E78"/>
          <w:sz w:val="36"/>
          <w:szCs w:val="36"/>
        </w:rPr>
        <w:t>The new document is added to both the package manifest and the user-facing TOC. Manifest count changes from 85 to 86 with the new document entry. TOC entries expand from 1 through 81 to 1 through 82, with the new entry inserted as entry 82. The non-auxiliary status of the new document (it is intended for self-employed reader engagement rather than being an analytical artifact like the persona simulation documents) warrants TOC inclusion, distinguishing it from the four auxiliary documents tracked in TOC_EXCLUDE_FILES (the two persona simulation documents and the two reader-path documents). This is the first non-auxiliary document added to the platform since the v3.1.0 era.</w:t>
      </w:r>
    </w:p>
    <w:p>
      <w:pPr>
        <w:spacing w:after="240" w:before="480"/>
      </w:pPr>
      <w:r>
        <w:rPr>
          <w:rFonts w:ascii="Arial" w:cs="Arial" w:eastAsia="Arial" w:hAnsi="Arial"/>
          <w:b/>
          <w:bCs/>
          <w:color w:val="1F4E78"/>
          <w:sz w:val="36"/>
          <w:szCs w:val="36"/>
        </w:rPr>
        <w:t>Standing Rule 1 catch and resolution</w:t>
      </w:r>
    </w:p>
    <w:p>
      <w:pPr>
        <w:spacing w:after="240" w:before="480"/>
      </w:pPr>
      <w:r>
        <w:rPr>
          <w:rFonts w:ascii="Arial" w:cs="Arial" w:eastAsia="Arial" w:hAnsi="Arial"/>
          <w:b/>
          <w:bCs/>
          <w:color w:val="1F4E78"/>
          <w:sz w:val="36"/>
          <w:szCs w:val="36"/>
        </w:rPr>
        <w:t>The audit on the work-in-progress new document surfaced one expanded-acronyms finding: IRS used six times without 'Internal Revenue Service' definition. This was caught by the audit's expanded-acronyms scan and fixed in the re-loop with first-use expansion. The discipline pattern is now consistent across iterations: writing new content introduces potential acronym findings; the audit's expanded-acronyms scan catches them; first-use expansion fixes them. Two earlier acronym fixes (FICA and PUC in v3.1.8; IRS in v3.1.10) demonstrate that even when writing carefully, acronym discipline benefits from automated verification rather than manual review alone.</w:t>
      </w:r>
    </w:p>
    <w:p>
      <w:pPr>
        <w:spacing w:after="240" w:before="480"/>
      </w:pPr>
      <w:r>
        <w:rPr>
          <w:rFonts w:ascii="Arial" w:cs="Arial" w:eastAsia="Arial" w:hAnsi="Arial"/>
          <w:b/>
          <w:bCs/>
          <w:color w:val="1F4E78"/>
          <w:sz w:val="36"/>
          <w:szCs w:val="36"/>
        </w:rPr>
        <w:t>What v3.1.10 does NOT change</w:t>
      </w:r>
    </w:p>
    <w:p>
      <w:pPr>
        <w:spacing w:after="240" w:before="480"/>
      </w:pPr>
      <w:r>
        <w:rPr>
          <w:rFonts w:ascii="Arial" w:cs="Arial" w:eastAsia="Arial" w:hAnsi="Arial"/>
          <w:b/>
          <w:bCs/>
          <w:color w:val="1F4E78"/>
          <w:sz w:val="36"/>
          <w:szCs w:val="36"/>
        </w:rPr>
        <w:t>The audit infrastructure from v3.1.7 and v3.1.9 (seven layers, fourteen distinct check operations) is unchanged in structure. ACRONYMS_REGISTRY remains at seventy-two entries. META_TRIGGER_PATTERNS remains at six patterns. SECTION_47_ID_PATTERNS remains at thirteen entries. TOC_EXCLUDE_FILES remains at four files. The Mitigated and Item Status criteria from v3.1.2 remain in force. Substantive content from prior iterations is preserved. Eleven PERSONA-MIN entries (MIN-14 through 24) remain in OPEN status pending subsequent-iteration mitigation. Three PERSONA-SIG entries remain in OPEN with external-help acknowledgment.</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v3.1.10 used the four-phase cycle. Phase 1 audit was clean. Phase 2 created the new document, added manifest entry and TOC entry, and updated three Section 47 entries to CLOSED status. Standing Rule 1 caught one acronym finding which was fixed in re-loop. Phase 3 verified clean state across all fourteen audit operations. Phase 4 documents the iteration here. v3.1.10 is the forty-second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subsequent iteration to clear the remaining PERSONA-MIN-14 through 24 backlog (eleven items, addressing healthcare-provider operational specifics, constitutional analysis components, state-implementation specifics, and Sovereign Fund market-impact and pension-fund interaction items at architectural-intent level the lead author can substantiate); external engagement initiation for the OPEN Section 47 items requiring domain expertise the lead author appropriately defers to; further audit script extension for additional completeness checks; terminology consistency codification with careful canonical-term registry design (deferred from v3.1.9); or further substantive new content development in other areas not yet covered.</w:t>
      </w:r>
    </w:p>
    <w:p>
      <w:pPr>
        <w:pStyle w:val="Heading1"/>
      </w:pPr>
      <w:r>
        <w:t>Section 86: v3.1.11 External Engagement Plan</w:t>
      </w:r>
    </w:p>
    <w:p>
      <w:pPr>
        <w:spacing w:after="240" w:before="480"/>
      </w:pPr>
      <w:r>
        <w:rPr>
          <w:rFonts w:ascii="Arial" w:cs="Arial" w:eastAsia="Arial" w:hAnsi="Arial"/>
          <w:b/>
          <w:bCs/>
          <w:color w:val="1F4E78"/>
          <w:sz w:val="36"/>
          <w:szCs w:val="36"/>
        </w:rPr>
        <w:t>v3.1.11 develops a structured external-engagement framework for the eleven OPEN Section 47 items recorded as Mitigated equals Y with external-help acknowledgment. Each item identifies analytical depth or operational specifics that require expertise the lead author appropriately defers to outside experts. Earlier iterations established the documented external-review path (satisfying the Item Status criterion); v3.1.11 specifies what external engagement actually looks like for each item.</w:t>
      </w:r>
    </w:p>
    <w:p>
      <w:pPr>
        <w:spacing w:after="240" w:before="480"/>
      </w:pPr>
      <w:r>
        <w:rPr>
          <w:rFonts w:ascii="Arial" w:cs="Arial" w:eastAsia="Arial" w:hAnsi="Arial"/>
          <w:b/>
          <w:bCs/>
          <w:color w:val="1F4E78"/>
          <w:sz w:val="36"/>
          <w:szCs w:val="36"/>
        </w:rPr>
        <w:t>Why a structured engagement framework</w:t>
      </w:r>
    </w:p>
    <w:p>
      <w:pPr>
        <w:spacing w:after="240" w:before="480"/>
      </w:pPr>
      <w:r>
        <w:rPr>
          <w:rFonts w:ascii="Arial" w:cs="Arial" w:eastAsia="Arial" w:hAnsi="Arial"/>
          <w:b/>
          <w:bCs/>
          <w:color w:val="1F4E78"/>
          <w:sz w:val="36"/>
          <w:szCs w:val="36"/>
        </w:rPr>
        <w:t>The eleven items differ along multiple dimensions: kind of expertise required (constitutional law, healthcare economics, monetary economics, housing economics, labor economics, institutional finance, audit firm credentials, government consultation), kind of output expected (validation, substantive new analysis, audit report, government response), and engagement structure (individual academic, audit firm, tribal government, intermediary organization). A single outreach approach would be inappropriate to this diversity. The engagement plan organizes the eleven items into four structurally distinct engagement kinds and specifies per-kind outreach approaches, time-commitment expectations, output formats, and onboarding reading paths.</w:t>
      </w:r>
    </w:p>
    <w:p>
      <w:pPr>
        <w:spacing w:after="240" w:before="480"/>
      </w:pPr>
      <w:r>
        <w:rPr>
          <w:rFonts w:ascii="Arial" w:cs="Arial" w:eastAsia="Arial" w:hAnsi="Arial"/>
          <w:b/>
          <w:bCs/>
          <w:color w:val="1F4E78"/>
          <w:sz w:val="36"/>
          <w:szCs w:val="36"/>
        </w:rPr>
        <w:t>Four engagement kinds</w:t>
      </w:r>
    </w:p>
    <w:p>
      <w:pPr>
        <w:spacing w:after="240" w:before="480"/>
      </w:pPr>
      <w:r>
        <w:rPr>
          <w:rFonts w:ascii="Arial" w:cs="Arial" w:eastAsia="Arial" w:hAnsi="Arial"/>
          <w:b/>
          <w:bCs/>
          <w:color w:val="1F4E78"/>
          <w:sz w:val="36"/>
          <w:szCs w:val="36"/>
        </w:rPr>
        <w:t>Kind A (validation of existing response frameworks) covers RESEARCH-1 through RESEARCH-6. Each item has a response framework already developed in OIR Section 52; expert engagement validates the framework and refines it. Light time commitment (approximately four to eight hours per item). Output: structured response with framework assessment and refinements suggested.</w:t>
      </w:r>
    </w:p>
    <w:p>
      <w:pPr>
        <w:spacing w:after="240" w:before="480"/>
      </w:pPr>
      <w:r>
        <w:rPr>
          <w:rFonts w:ascii="Arial" w:cs="Arial" w:eastAsia="Arial" w:hAnsi="Arial"/>
          <w:b/>
          <w:bCs/>
          <w:color w:val="1F4E78"/>
          <w:sz w:val="36"/>
          <w:szCs w:val="36"/>
        </w:rPr>
        <w:t>Kind B (depth-development for persona-surfaced items) covers PERSONA-SIG-3, PERSONA-SIG-4, and PERSONA-SIG-5. Each item requires substantive new analytical development beyond what the lead author can substantiate. Heavier time commitment (approximately twenty to forty hours per item). Output: analysis or framework integrated as named contribution to platform documentation.</w:t>
      </w:r>
    </w:p>
    <w:p>
      <w:pPr>
        <w:spacing w:after="240" w:before="480"/>
      </w:pPr>
      <w:r>
        <w:rPr>
          <w:rFonts w:ascii="Arial" w:cs="Arial" w:eastAsia="Arial" w:hAnsi="Arial"/>
          <w:b/>
          <w:bCs/>
          <w:color w:val="1F4E78"/>
          <w:sz w:val="36"/>
          <w:szCs w:val="36"/>
        </w:rPr>
        <w:t>Kind C (independent mathematical audit) covers PROCESS-3. Procedurally distinct from individual expert engagement: engages an audit firm rather than an individual reviewer, through formal scope-of-work and standard audit-firm contracting. Time horizon measured in firm-engagement weeks. Output: structured audit report against documented standards (Chartered Financial Analyst standards, International Swaps and Derivatives Association reference frameworks, Federal Reserve SR 11-7 model risk management guidance). Funding constraint: lead author cannot unilaterally commission audit; engagement plan is ready for an institutional partner.</w:t>
      </w:r>
    </w:p>
    <w:p>
      <w:pPr>
        <w:spacing w:after="240" w:before="480"/>
      </w:pPr>
      <w:r>
        <w:rPr>
          <w:rFonts w:ascii="Arial" w:cs="Arial" w:eastAsia="Arial" w:hAnsi="Arial"/>
          <w:b/>
          <w:bCs/>
          <w:color w:val="1F4E78"/>
          <w:sz w:val="36"/>
          <w:szCs w:val="36"/>
        </w:rPr>
        <w:t>Kind D (government-to-government consultation) covers ITEM79-Q3. Operates through formal tribal-government channels rather than individual or firm engagement. Time horizon measured in months or years. Lead author is not the appropriate initiator; consultation is initiated through federal-government facilitation (post-enactment-consideration) or intermediary-organization facilitation (pre-enactment-consideration through national tribal organizations or tribal-policy academic institutions).</w:t>
      </w:r>
    </w:p>
    <w:p>
      <w:pPr>
        <w:spacing w:after="240" w:before="480"/>
      </w:pPr>
      <w:r>
        <w:rPr>
          <w:rFonts w:ascii="Arial" w:cs="Arial" w:eastAsia="Arial" w:hAnsi="Arial"/>
          <w:b/>
          <w:bCs/>
          <w:color w:val="1F4E78"/>
          <w:sz w:val="36"/>
          <w:szCs w:val="36"/>
        </w:rPr>
        <w:t>Document structure and coverage</w:t>
      </w:r>
    </w:p>
    <w:p>
      <w:pPr>
        <w:spacing w:after="240" w:before="480"/>
      </w:pPr>
      <w:r>
        <w:rPr>
          <w:rFonts w:ascii="Arial" w:cs="Arial" w:eastAsia="Arial" w:hAnsi="Arial"/>
          <w:b/>
          <w:bCs/>
          <w:color w:val="1F4E78"/>
          <w:sz w:val="36"/>
          <w:szCs w:val="36"/>
        </w:rPr>
        <w:t>The new External Engagement Plan document has eleven main sections covering: why the document exists, four kinds of external engagement, validation tracks (with per-item specifications for RESEARCH-1 through RESEARCH-6), depth-development tracks (with per-item specifications for PERSONA-SIG-3, 4, 5), independent mathematical audit specification, tribal government consultation specification, reviewer onboarding reading paths (per kind), outreach templates (per kind), what the document does not address, and cross-references. The document is approximately nine pages and addresses all eleven OPEN external-expertise items comprehensively.</w:t>
      </w:r>
    </w:p>
    <w:p>
      <w:pPr>
        <w:spacing w:after="240" w:before="480"/>
      </w:pPr>
      <w:r>
        <w:rPr>
          <w:rFonts w:ascii="Arial" w:cs="Arial" w:eastAsia="Arial" w:hAnsi="Arial"/>
          <w:b/>
          <w:bCs/>
          <w:color w:val="1F4E78"/>
          <w:sz w:val="36"/>
          <w:szCs w:val="36"/>
        </w:rPr>
        <w:t>Section 47 status notes augmented</w:t>
      </w:r>
    </w:p>
    <w:p>
      <w:pPr>
        <w:spacing w:after="240" w:before="480"/>
      </w:pPr>
      <w:r>
        <w:rPr>
          <w:rFonts w:ascii="Arial" w:cs="Arial" w:eastAsia="Arial" w:hAnsi="Arial"/>
          <w:b/>
          <w:bCs/>
          <w:color w:val="1F4E78"/>
          <w:sz w:val="36"/>
          <w:szCs w:val="36"/>
        </w:rPr>
        <w:t>Each of the eleven OPEN items has its Status field augmented with a reference to the new External Engagement Plan document. The items remain OPEN with Mitigated equals Y; the augmentation indicates that engagement specification is now documented (prior status: external-review path acknowledged; new status: engagement specification documented in 05_External_Engagement_Plan.docx). Section 47 totals are unchanged: 52 Y / 11 N out of 63 (41 CLOSED / 22 OPEN). The augmentation does not change Item Status; closure of these items requires actual external engagement output, not the engagement plan itself.</w:t>
      </w:r>
    </w:p>
    <w:p>
      <w:pPr>
        <w:spacing w:after="240" w:before="480"/>
      </w:pPr>
      <w:r>
        <w:rPr>
          <w:rFonts w:ascii="Arial" w:cs="Arial" w:eastAsia="Arial" w:hAnsi="Arial"/>
          <w:b/>
          <w:bCs/>
          <w:color w:val="1F4E78"/>
          <w:sz w:val="36"/>
          <w:szCs w:val="36"/>
        </w:rPr>
        <w:t>Manifest and TOC expansion</w:t>
      </w:r>
    </w:p>
    <w:p>
      <w:pPr>
        <w:spacing w:after="240" w:before="480"/>
      </w:pPr>
      <w:r>
        <w:rPr>
          <w:rFonts w:ascii="Arial" w:cs="Arial" w:eastAsia="Arial" w:hAnsi="Arial"/>
          <w:b/>
          <w:bCs/>
          <w:color w:val="1F4E78"/>
          <w:sz w:val="36"/>
          <w:szCs w:val="36"/>
        </w:rPr>
        <w:t>The new document is added to both manifest and user-facing TOC. Manifest count changes from 86 to 87. TOC entries expand from 1 through 82 to 1 through 83, with the new entry inserted as entry 83. Like the v3.1.10 Self-Employed and Gig Worker Implementation document, this is a non-auxiliary document warranting TOC inclusion (it is content the platform wants reviewers and partners to see, demonstrating the platform's external-engagement discipline).</w:t>
      </w:r>
    </w:p>
    <w:p>
      <w:pPr>
        <w:spacing w:after="240" w:before="480"/>
      </w:pPr>
      <w:r>
        <w:rPr>
          <w:rFonts w:ascii="Arial" w:cs="Arial" w:eastAsia="Arial" w:hAnsi="Arial"/>
          <w:b/>
          <w:bCs/>
          <w:color w:val="1F4E78"/>
          <w:sz w:val="36"/>
          <w:szCs w:val="36"/>
        </w:rPr>
        <w:t>What v3.1.11 does NOT change</w:t>
      </w:r>
    </w:p>
    <w:p>
      <w:pPr>
        <w:spacing w:after="240" w:before="480"/>
      </w:pPr>
      <w:r>
        <w:rPr>
          <w:rFonts w:ascii="Arial" w:cs="Arial" w:eastAsia="Arial" w:hAnsi="Arial"/>
          <w:b/>
          <w:bCs/>
          <w:color w:val="1F4E78"/>
          <w:sz w:val="36"/>
          <w:szCs w:val="36"/>
        </w:rPr>
        <w:t>The audit infrastructure from v3.1.7 and v3.1.9 (seven layers, fourteen distinct check operations) is unchanged in structure. ACRONYMS_REGISTRY remains at seventy-two entries. META_TRIGGER_PATTERNS remains at six patterns. SECTION_47_ID_PATTERNS remains at thirteen entries. TOC_EXCLUDE_FILES remains at four files. The Mitigated and Item Status criteria from earlier iterations remain in force. Substantive content from prior iterations is preserved. Eleven PERSONA-MIN entries (MIN-14 through 24) remain in OPEN N status pending subsequent-iteration mitigation; this document does not address them because they are tractable at architectural-intent level the lead author can substantiate (analogous to the v3.1.10 Self-Employed treatment) and do not require external engagement. The eleven OPEN external-expertise items remain OPEN; closure requires actual external engagement output.</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v3.1.11 used the four-phase cycle. Phase 1 audit was clean. Phase 2 created the new External Engagement Plan document, added manifest and TOC entries, and augmented eleven Section 47 status fields with the engagement plan reference. No Standing Rule 1 catches occurred in this iteration. Phase 3 verified clean state across all fourteen audit operations. Phase 4 documents the iteration here. v3.1.11 is the forty-third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actual outreach execution using the engagement plan templates (separate from platform-iteration work, more like project-management work); subsequent iteration to clear the remaining PERSONA-MIN-14 through 24 backlog (eleven items, addressable at architectural-intent level analogous to v3.1.10 Self-Employed treatment); further substantive new content development in other areas not yet covered; further audit script extension; or terminology consistency codification with careful canonical-term registry design (deferred from v3.1.9). The platform has now completed the five tasks identified at the start of the v3.1.6 through v3.1.11 iteration sequence: persona MIN mitigation (v3.1.6), persona simulation set extension (v3.1.8), fresh angles in additional dimensions (v3.1.9), substantive new content development (v3.1.10), and external engagement initiation (v3.1.11).</w:t>
      </w:r>
    </w:p>
    <w:p>
      <w:pPr>
        <w:pStyle w:val="Heading1"/>
      </w:pPr>
      <w:r>
        <w:t>Section 87: v3.1.12 Harden Cycle</w:t>
      </w:r>
    </w:p>
    <w:p>
      <w:pPr>
        <w:spacing w:after="240" w:before="480"/>
      </w:pPr>
      <w:r>
        <w:rPr>
          <w:rFonts w:ascii="Arial" w:cs="Arial" w:eastAsia="Arial" w:hAnsi="Arial"/>
          <w:b/>
          <w:bCs/>
          <w:color w:val="1F4E78"/>
          <w:sz w:val="36"/>
          <w:szCs w:val="36"/>
        </w:rPr>
        <w:t>v3.1.12 is a harden cycle iteration applying three fresh audit angles in dimensions earlier iterations had not systematically scanned: cross-reference resolution within documents, past-OIR meta-trigger compliance across all recent sections, and canonical-figure consistency across documents. Two of the three angles surfaced real findings; one returned no real findings (confirming continued discipline). One of the two productive angles was codified as a new audit check; the other was deferred from codification due to false-positive risk. Three real findings were mitigated. The harden cycle follows the same four-phase pattern established in earlier iterations and recorded in the iterative hardening process documentation.</w:t>
      </w:r>
    </w:p>
    <w:p>
      <w:pPr>
        <w:spacing w:after="240" w:before="480"/>
      </w:pPr>
      <w:r>
        <w:rPr>
          <w:rFonts w:ascii="Arial" w:cs="Arial" w:eastAsia="Arial" w:hAnsi="Arial"/>
          <w:b/>
          <w:bCs/>
          <w:color w:val="1F4E78"/>
          <w:sz w:val="36"/>
          <w:szCs w:val="36"/>
        </w:rPr>
        <w:t>Angle X: Cross-reference resolution (codified)</w:t>
      </w:r>
    </w:p>
    <w:p>
      <w:pPr>
        <w:spacing w:after="240" w:before="480"/>
      </w:pPr>
      <w:r>
        <w:rPr>
          <w:rFonts w:ascii="Arial" w:cs="Arial" w:eastAsia="Arial" w:hAnsi="Arial"/>
          <w:b/>
          <w:bCs/>
          <w:color w:val="1F4E78"/>
          <w:sz w:val="36"/>
          <w:szCs w:val="36"/>
        </w:rPr>
        <w:t>Angle X scanned all narrative documents for filename references matching the platform's standard XX prefix pattern and verified each reference resolves to an actual file in the package. The angle surfaced two real findings. The first: a historical changelog entry referenced a longer filename that had since been shortened (the v2.25 changelog entry referenced the original filename for the emergency services communications document, which was later shortened in a subsequent iteration). The second: an OIR auditor entry referenced the per-citizen benefits and costs document with a wrong category prefix (referring to a six-prefix path when the actual file uses a five-prefix path). Both were stale references that had persisted through multiple iterations without being caught.</w:t>
      </w:r>
    </w:p>
    <w:p>
      <w:pPr>
        <w:spacing w:after="240" w:before="480"/>
      </w:pPr>
      <w:r>
        <w:rPr>
          <w:rFonts w:ascii="Arial" w:cs="Arial" w:eastAsia="Arial" w:hAnsi="Arial"/>
          <w:b/>
          <w:bCs/>
          <w:color w:val="1F4E78"/>
          <w:sz w:val="36"/>
          <w:szCs w:val="36"/>
        </w:rPr>
        <w:t>Mitigation. The first reference was rewritten to use the current filename, with the historical name preserved in plain prose without the file extension (avoiding pattern match while preserving the rename history). The second reference was corrected to use the actual five-prefix path. Both mitigations are minor textual edits that preserve historical intent while resolving the cross-reference.</w:t>
      </w:r>
    </w:p>
    <w:p>
      <w:pPr>
        <w:spacing w:after="240" w:before="480"/>
      </w:pPr>
      <w:r>
        <w:rPr>
          <w:rFonts w:ascii="Arial" w:cs="Arial" w:eastAsia="Arial" w:hAnsi="Arial"/>
          <w:b/>
          <w:bCs/>
          <w:color w:val="1F4E78"/>
          <w:sz w:val="36"/>
          <w:szCs w:val="36"/>
        </w:rPr>
        <w:t>Codified as audit_cross_reference_resolution. The check scans all docx files for the standard XX prefix filename pattern, builds a set of actual filenames in the package, and reports MIN findings for any referenced filename that doesn't resolve. The check protects against future iterations introducing stale references after renames or removals; it would have caught both v3.1.12 findings if it had existed earlier.</w:t>
      </w:r>
    </w:p>
    <w:p>
      <w:pPr>
        <w:spacing w:after="240" w:before="480"/>
      </w:pPr>
      <w:r>
        <w:rPr>
          <w:rFonts w:ascii="Arial" w:cs="Arial" w:eastAsia="Arial" w:hAnsi="Arial"/>
          <w:b/>
          <w:bCs/>
          <w:color w:val="1F4E78"/>
          <w:sz w:val="36"/>
          <w:szCs w:val="36"/>
        </w:rPr>
        <w:t>Angle Y: Past-OIR meta-trigger scan (returned no findings)</w:t>
      </w:r>
    </w:p>
    <w:p>
      <w:pPr>
        <w:spacing w:after="240" w:before="480"/>
      </w:pPr>
      <w:r>
        <w:rPr>
          <w:rFonts w:ascii="Arial" w:cs="Arial" w:eastAsia="Arial" w:hAnsi="Arial"/>
          <w:b/>
          <w:bCs/>
          <w:color w:val="1F4E78"/>
          <w:sz w:val="36"/>
          <w:szCs w:val="36"/>
        </w:rPr>
        <w:t>Angle Y ran the existing meta-trigger pattern set against the ten most recent OIR sections rather than only the current iteration's section (which the existing auto-check covers). The angle confirmed that all ten recent sections are clean of meta-trigger flags. The result confirms continued discipline across the abstracted-language convention. The angle was not codified because the existing auto-check on the current iteration's section already provides the protection at the point where new violations would be introduced; running the scan across all past sections is appropriate as a one-time audit but is not necessary for ongoing iteration discipline.</w:t>
      </w:r>
    </w:p>
    <w:p>
      <w:pPr>
        <w:spacing w:after="240" w:before="480"/>
      </w:pPr>
      <w:r>
        <w:rPr>
          <w:rFonts w:ascii="Arial" w:cs="Arial" w:eastAsia="Arial" w:hAnsi="Arial"/>
          <w:b/>
          <w:bCs/>
          <w:color w:val="1F4E78"/>
          <w:sz w:val="36"/>
          <w:szCs w:val="36"/>
        </w:rPr>
        <w:t>Angle Z: Canonical-figure consistency (deferred from codification)</w:t>
      </w:r>
    </w:p>
    <w:p>
      <w:pPr>
        <w:spacing w:after="240" w:before="480"/>
      </w:pPr>
      <w:r>
        <w:rPr>
          <w:rFonts w:ascii="Arial" w:cs="Arial" w:eastAsia="Arial" w:hAnsi="Arial"/>
          <w:b/>
          <w:bCs/>
          <w:color w:val="1F4E78"/>
          <w:sz w:val="36"/>
          <w:szCs w:val="36"/>
        </w:rPr>
        <w:t>Angle Z scanned for canonical-figure variants (Sovereign Fund base case and four-percent scenario corpus values; healthcare per-capita target and baseline values). Initial counts appeared to show inconsistencies but context inspection revealed that most apparent variants were either legitimate rounding-precision differences (the four-percent scenario corpus stated as the precise figure in some places and the rounded figure in others) or references to entirely different concepts (the rounded figure also appears multiple times referring to the standalone-sunset transition borrowing estimate, which is unrelated to the four-percent scenario Sovereign Fund corpus).</w:t>
      </w:r>
    </w:p>
    <w:p>
      <w:pPr>
        <w:spacing w:after="240" w:before="480"/>
      </w:pPr>
      <w:r>
        <w:rPr>
          <w:rFonts w:ascii="Arial" w:cs="Arial" w:eastAsia="Arial" w:hAnsi="Arial"/>
          <w:b/>
          <w:bCs/>
          <w:color w:val="1F4E78"/>
          <w:sz w:val="36"/>
          <w:szCs w:val="36"/>
        </w:rPr>
        <w:t>One real finding emerged. The Federal Fiscal Impact Analysis document had three statements of the four-percent scenario corpus using the precise form and one statement using the rounded form referring to the same scenario, producing an internal inconsistency within a single document. Mitigation: the rounded statement was changed to the precise form, matching the other three statements within the same document and matching the canonical value documented in the Open Issues Registry. Codification deferred: distinguishing legitimate rounding-precision variation from genuine inconsistency requires document-level semantic understanding the audit infrastructure cannot supply without substantial additional design work. The angle remains open for future iterations to revisit.</w:t>
      </w:r>
    </w:p>
    <w:p>
      <w:pPr>
        <w:spacing w:after="240" w:before="480"/>
      </w:pPr>
      <w:r>
        <w:rPr>
          <w:rFonts w:ascii="Arial" w:cs="Arial" w:eastAsia="Arial" w:hAnsi="Arial"/>
          <w:b/>
          <w:bCs/>
          <w:color w:val="1F4E78"/>
          <w:sz w:val="36"/>
          <w:szCs w:val="36"/>
        </w:rPr>
        <w:t>Audit script structure changes</w:t>
      </w:r>
    </w:p>
    <w:p>
      <w:pPr>
        <w:spacing w:after="240" w:before="480"/>
      </w:pPr>
      <w:r>
        <w:rPr>
          <w:rFonts w:ascii="Arial" w:cs="Arial" w:eastAsia="Arial" w:hAnsi="Arial"/>
          <w:b/>
          <w:bCs/>
          <w:color w:val="1F4E78"/>
          <w:sz w:val="36"/>
          <w:szCs w:val="36"/>
        </w:rPr>
        <w:t>audit_script.py grew from approximately fifty-five thousand bytes to approximately fifty-eight thousand bytes with the addition. New audit function: audit_cross_reference_resolution. Wiring into main adds one line reporting the per-check finding count and extending all_findings. Audit infrastructure now comprises seven layers and fifteen distinct check operations (extending the fourteen-operation count after v3.1.9).</w:t>
      </w:r>
    </w:p>
    <w:p>
      <w:pPr>
        <w:spacing w:after="240" w:before="480"/>
      </w:pPr>
      <w:r>
        <w:rPr>
          <w:rFonts w:ascii="Arial" w:cs="Arial" w:eastAsia="Arial" w:hAnsi="Arial"/>
          <w:b/>
          <w:bCs/>
          <w:color w:val="1F4E78"/>
          <w:sz w:val="36"/>
          <w:szCs w:val="36"/>
        </w:rPr>
        <w:t>What v3.1.12 does NOT change</w:t>
      </w:r>
    </w:p>
    <w:p>
      <w:pPr>
        <w:spacing w:after="240" w:before="480"/>
      </w:pPr>
      <w:r>
        <w:rPr>
          <w:rFonts w:ascii="Arial" w:cs="Arial" w:eastAsia="Arial" w:hAnsi="Arial"/>
          <w:b/>
          <w:bCs/>
          <w:color w:val="1F4E78"/>
          <w:sz w:val="36"/>
          <w:szCs w:val="36"/>
        </w:rPr>
        <w:t>Section 47 status is unchanged at fifty-two Y / eleven N out of sixty-three with item status distribution forty-one CLOSED / twenty-two OPEN. The Mitigated and Item Status criteria from earlier iterations remain in force. Substantive content from prior iterations is preserved (canonical figures and their contexts intact except for the single FFIA correction documented above). Manifest unchanged at eighty-seven equals eighty-seven. ACRONYMS_REGISTRY unchanged at seventy-two entries. META_TRIGGER_PATTERNS unchanged at six patterns. TOC_EXCLUDE_FILES unchanged at four files. The eleven OPEN external-expertise items (now with engagement plan documented via v3.1.11) remain OPEN; the eleven OPEN MIN items (PERSONA-MIN-14 through 24) remain pending subsequent-iteration mitigation.</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v3.1.12 used the four-phase cycle. Phase 1 audit was clean. Phase 1.2 prototyped three candidate audit angles; one returned no real findings (past-OIR meta-trigger scan), one surfaced two real cross-reference findings, one surfaced one real canonical-figure consistency finding within a single document. Phase 2 fixed all three real findings, codified the cross-reference resolution check, and deferred canonical-figure consistency codification. Phase 3 verified clean state across all fifteen audit operations. Phase 4 documents the iteration here. v3.1.12 is the forty-fourth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subsequent iteration to clear the PERSONA-MIN-14 through 24 backlog (eleven items addressable at architectural-intent level analogous to the v3.1.10 Self-Employed treatment); canonical-figure consistency codification with careful design distinguishing rounding-precision variation from genuine inconsistency; further audit script extension for additional completeness checks; further substantive new content development; or actual outreach execution using the v3.1.11 External Engagement Plan templates (project-management work outside the platform-iteration cycle).</w:t>
      </w:r>
    </w:p>
    <w:p>
      <w:pPr>
        <w:pStyle w:val="Heading1"/>
      </w:pPr>
      <w:r>
        <w:t>Section 88: v3.2.0 Pillar Eight Added — Universal Paid Family Time</w:t>
      </w:r>
    </w:p>
    <w:p>
      <w:pPr>
        <w:spacing w:after="240" w:before="480"/>
      </w:pPr>
      <w:r>
        <w:rPr>
          <w:rFonts w:ascii="Arial" w:cs="Arial" w:eastAsia="Arial" w:hAnsi="Arial"/>
          <w:b/>
          <w:bCs/>
          <w:color w:val="1F4E78"/>
          <w:sz w:val="36"/>
          <w:szCs w:val="36"/>
        </w:rPr>
        <w:t>v3.2.0 elevates paid family time from candidate item to formal Pillar Eight, completing the architectural commitment that prior iterations had documented as Direction A in the Gender Pay Gap and Indirect Mechanisms document and as candidate item in the Adjacent Pillars Under Development document. v3.2.0 is a minor version bump (rather than patch) per semantic versioning convention because adding a pillar is a structural change to platform identity, cascading through count language and platform-does-not-do statements across multiple documents.</w:t>
      </w:r>
    </w:p>
    <w:p>
      <w:pPr>
        <w:spacing w:after="240" w:before="480"/>
      </w:pPr>
      <w:r>
        <w:rPr>
          <w:rFonts w:ascii="Arial" w:cs="Arial" w:eastAsia="Arial" w:hAnsi="Arial"/>
          <w:b/>
          <w:bCs/>
          <w:color w:val="1F4E78"/>
          <w:sz w:val="36"/>
          <w:szCs w:val="36"/>
        </w:rPr>
        <w:t>Why elevation now</w:t>
      </w:r>
    </w:p>
    <w:p>
      <w:pPr>
        <w:spacing w:after="240" w:before="480"/>
      </w:pPr>
      <w:r>
        <w:rPr>
          <w:rFonts w:ascii="Arial" w:cs="Arial" w:eastAsia="Arial" w:hAnsi="Arial"/>
          <w:b/>
          <w:bCs/>
          <w:color w:val="1F4E78"/>
          <w:sz w:val="36"/>
          <w:szCs w:val="36"/>
        </w:rPr>
        <w:t>Prior platform iterations had identified paid family leave as an unaddressed concern in three separate analytical contexts: the Gender Pay Gap and Indirect Mechanisms document identified it as one of five design directions for future platform versions; the Aging In Place Implications document identified it as part of the unaddressed informal-caregiver wage-replacement gap; the Multigenerational Households document identified it as one of three policy directions the platform could pursue to support informal caregivers. Each of these contexts independently surfaced the same gap. The elevation to formal pillar resolves the gap consistently across all three contexts and removes the platform-does-not-do statements those documents previously contained.</w:t>
      </w:r>
    </w:p>
    <w:p>
      <w:pPr>
        <w:spacing w:after="240" w:before="480"/>
      </w:pPr>
      <w:r>
        <w:rPr>
          <w:rFonts w:ascii="Arial" w:cs="Arial" w:eastAsia="Arial" w:hAnsi="Arial"/>
          <w:b/>
          <w:bCs/>
          <w:color w:val="1F4E78"/>
          <w:sz w:val="36"/>
          <w:szCs w:val="36"/>
        </w:rPr>
        <w:t>What Pillar Eight provides</w:t>
      </w:r>
    </w:p>
    <w:p>
      <w:pPr>
        <w:spacing w:after="240" w:before="480"/>
      </w:pPr>
      <w:r>
        <w:rPr>
          <w:rFonts w:ascii="Arial" w:cs="Arial" w:eastAsia="Arial" w:hAnsi="Arial"/>
          <w:b/>
          <w:bCs/>
          <w:color w:val="1F4E78"/>
          <w:sz w:val="36"/>
          <w:szCs w:val="36"/>
        </w:rPr>
        <w:t>Pillar Eight (Universal Paid Family Time) provides federal paid leave for parental, caregiver, and personal medical circumstances. Each leave category is up to twelve weeks per qualifying event with sliding-scale wage replacement. The program is funded through a dedicated 0.4 percent combined payroll contribution (employer plus employee, with self-employed paying the combined rate following the standard deductibility treatment). Annual program cost at maturity is approximately forty to sixty billion dollars. The program operates as a federal floor with state programs continuing to provide benefits above the federal minimum (preserving state-level policy experimentation while removing geographic disparity in workforce-related family support).</w:t>
      </w:r>
    </w:p>
    <w:p>
      <w:pPr>
        <w:spacing w:after="240" w:before="480"/>
      </w:pPr>
      <w:r>
        <w:rPr>
          <w:rFonts w:ascii="Arial" w:cs="Arial" w:eastAsia="Arial" w:hAnsi="Arial"/>
          <w:b/>
          <w:bCs/>
          <w:color w:val="1F4E78"/>
          <w:sz w:val="36"/>
          <w:szCs w:val="36"/>
        </w:rPr>
        <w:t>Documents added and updated</w:t>
      </w:r>
    </w:p>
    <w:p>
      <w:pPr>
        <w:spacing w:after="240" w:before="480"/>
      </w:pPr>
      <w:r>
        <w:rPr>
          <w:rFonts w:ascii="Arial" w:cs="Arial" w:eastAsia="Arial" w:hAnsi="Arial"/>
          <w:b/>
          <w:bCs/>
          <w:color w:val="1F4E78"/>
          <w:sz w:val="36"/>
          <w:szCs w:val="36"/>
        </w:rPr>
        <w:t>One new document added: 02_Universal_Paid_Family_Time_Pillar.docx (39 paragraphs, v1.0). Master We The People Platform document updated: cover tagline changed from 'Seven Pillars. One Foundation.' to 'Eight Pillars. One Foundation.', and a new Pillar Eight section (4 paragraphs) added between Pillar Seven (Civic Infrastructure) and the conclusion. Five additional documents updated to reflect the new pillar count (How This Was Built, State Level Cooperation Requirements, Climate Policy Beyond Grid Modernization, Federal Fiscal Impact Analysis, Adjacent Pillars Under Development). Three documents updated to remove platform-does-not-do statements now superseded (Aging In Place Implications, Multigenerational Households, Gender Pay Gap and Indirect Mechanisms). The Federal Fiscal Impact Analysis additionally received a new paragraph documenting the Pillar Eight contribution stream and cost.</w:t>
      </w:r>
    </w:p>
    <w:p>
      <w:pPr>
        <w:spacing w:after="240" w:before="480"/>
      </w:pPr>
      <w:r>
        <w:rPr>
          <w:rFonts w:ascii="Arial" w:cs="Arial" w:eastAsia="Arial" w:hAnsi="Arial"/>
          <w:b/>
          <w:bCs/>
          <w:color w:val="1F4E78"/>
          <w:sz w:val="36"/>
          <w:szCs w:val="36"/>
        </w:rPr>
        <w:t>What v3.2.0 does NOT change</w:t>
      </w:r>
    </w:p>
    <w:p>
      <w:pPr>
        <w:spacing w:after="240" w:before="480"/>
      </w:pPr>
      <w:r>
        <w:rPr>
          <w:rFonts w:ascii="Arial" w:cs="Arial" w:eastAsia="Arial" w:hAnsi="Arial"/>
          <w:b/>
          <w:bCs/>
          <w:color w:val="1F4E78"/>
          <w:sz w:val="36"/>
          <w:szCs w:val="36"/>
        </w:rPr>
        <w:t>The seven existing pillars are unchanged in architecture, contribution rates, and benefit specifications. Pillar Eight is additive rather than restructuring: existing commitments continue to operate as documented. The audit infrastructure from prior iterations (eight layers, fifteen distinct check operations) is unchanged in structure. ACRONYMS_REGISTRY remains at seventy-two entries. META_TRIGGER_PATTERNS remains at six patterns. SECTION_47_ID_PATTERNS remains at thirteen entries. TOC_EXCLUDE_FILES remains at four files. The Mitigated and Item Status criteria from earlier iterations remain in force. Section 47 is unchanged at fifty-two Y / eleven N out of sixty-three. Substantive content from prior iterations is preserved (canonical figures, persona findings, audit checks). The eleven OPEN external-expertise items remain OPEN with engagement plan documented; the eleven OPEN MIN items remain pending subsequent-iteration mitigation.</w:t>
      </w:r>
    </w:p>
    <w:p>
      <w:pPr>
        <w:spacing w:after="240" w:before="480"/>
      </w:pPr>
      <w:r>
        <w:rPr>
          <w:rFonts w:ascii="Arial" w:cs="Arial" w:eastAsia="Arial" w:hAnsi="Arial"/>
          <w:b/>
          <w:bCs/>
          <w:color w:val="1F4E78"/>
          <w:sz w:val="36"/>
          <w:szCs w:val="36"/>
        </w:rPr>
        <w:t>Standing Rule 1 catches and resolution</w:t>
      </w:r>
    </w:p>
    <w:p>
      <w:pPr>
        <w:spacing w:after="240" w:before="480"/>
      </w:pPr>
      <w:r>
        <w:rPr>
          <w:rFonts w:ascii="Arial" w:cs="Arial" w:eastAsia="Arial" w:hAnsi="Arial"/>
          <w:b/>
          <w:bCs/>
          <w:color w:val="1F4E78"/>
          <w:sz w:val="36"/>
          <w:szCs w:val="36"/>
        </w:rPr>
        <w:t>The audit on the work-in-progress new pillar document surfaced one expanded-acronyms finding: FICA used three times without Federal Insurance Contributions Act definition. Fixed via first-use expansion. Two scope-discipline issues also surfaced. First, the Multigenerational Households document had two paragraphs with platform-does-not-do statements that didn't match my initial pattern; both were updated after diagnostic re-inspection. Second, the Adjacent Pillars Under Development document had a paragraph my initial transform skipped because it contained version-context language; the transform was refined to update current-state pillar-count claims while preserving historical context that prior iterations made other count changes. A manifest row insertion issue also required a follow-up fix: the template row used a single-paragraph cell zero with embedded newline (not the two-paragraph pattern other manifest rows use); my initial code assumed the two-paragraph pattern and silently failed to replace cell zero text, leaving the new row as a duplicate of the template until corrected.</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v3.2.0 used the four-phase cycle. Phase 1 audit was clean. Phase 2 created the new pillar document, updated the master document with cover tagline change and Pillar Eight section, updated count language across five additional documents, updated platform-does-not-do statements in three additional documents, added Pillar Eight contribution stream content to the Federal Fiscal Impact Analysis, added manifest entry, added TOC entry, and bumped affected document versions. Standing Rule 1 caught one acronym finding plus three scope-discipline issues, all fixed in re-loop. Phase 3 verified clean state across all fifteen audit operations. Phase 4 documents the iteration here. v3.2.0 is the forty-fifth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subsequent iteration to clear the PERSONA-MIN-14 through 24 backlog (eleven items addressable at architectural-intent level analogous to the v3.1.10 Self-Employed treatment); cost validation for Pillar Eight by labor economists with paid leave program experience (added as candidate validation item alongside existing RESEARCH items); further substantive new content development in other areas the platform has not yet covered; further audit script extension; or actual outreach execution using the v3.1.11 External Engagement Plan templates.</w:t>
      </w:r>
    </w:p>
    <w:p>
      <w:pPr>
        <w:pStyle w:val="Heading1"/>
      </w:pPr>
      <w:r>
        <w:t>Section 89: v3.2.1 Internal-Mitigation Closure — PERSONA-MIN Backlog Cleared</w:t>
      </w:r>
    </w:p>
    <w:p>
      <w:pPr>
        <w:spacing w:after="240" w:before="480"/>
      </w:pPr>
      <w:r>
        <w:rPr>
          <w:rFonts w:ascii="Arial" w:cs="Arial" w:eastAsia="Arial" w:hAnsi="Arial"/>
          <w:b/>
          <w:bCs/>
          <w:color w:val="1F4E78"/>
          <w:sz w:val="36"/>
          <w:szCs w:val="36"/>
        </w:rPr>
        <w:t>v3.2.1 closes the eleven OPEN/N PERSONA-MIN findings remaining after v3.1.6's concentrated mitigation sweep, and adds RESEARCH-8 (Pillar Eight cost validation) as a Section 47 entry that v3.2.0 had referenced but not formally added. After this iteration, Section 47 status moves from fifty-two Y / eleven N out of sixty-three to sixty-four Y / zero N out of sixty-four; CLOSED / OPEN moves from forty-one CLOSED / twenty-two OPEN to fifty-two CLOSED / twelve OPEN.</w:t>
      </w:r>
    </w:p>
    <w:p>
      <w:pPr>
        <w:spacing w:after="240" w:before="480"/>
      </w:pPr>
      <w:r>
        <w:rPr>
          <w:rFonts w:ascii="Arial" w:cs="Arial" w:eastAsia="Arial" w:hAnsi="Arial"/>
          <w:b/>
          <w:bCs/>
          <w:color w:val="1F4E78"/>
          <w:sz w:val="36"/>
          <w:szCs w:val="36"/>
        </w:rPr>
        <w:t>What was mitigated</w:t>
      </w:r>
    </w:p>
    <w:p>
      <w:pPr>
        <w:spacing w:after="240" w:before="480"/>
      </w:pPr>
      <w:r>
        <w:rPr>
          <w:rFonts w:ascii="Arial" w:cs="Arial" w:eastAsia="Arial" w:hAnsi="Arial"/>
          <w:b/>
          <w:bCs/>
          <w:color w:val="1F4E78"/>
          <w:sz w:val="36"/>
          <w:szCs w:val="36"/>
        </w:rPr>
        <w:t>Eleven items addressed at architectural-intent level in a new document (05_Architectural_Intent_Mitigations.docx, sixty paragraphs, v1.0). The items split into four categories: healthcare operations (PERSONA-MIN-14 EHR integration, MIN-15 specialty referral process, MIN-16 malpractice and liability); constitutional review (MIN-17 commerce clause for FIF, MIN-18 takings clause for stranded-asset acquisition, MIN-19 federalism preemption); state-level implementation (MIN-20 state fiscal impact specificity, MIN-21 state implementation timeline, MIN-22 federal-state data-sharing mechanisms); Sovereign Fund investment operations (MIN-23 market impact at scale, MIN-24 pension fund interaction). For each item the document states the gap, articulates the platform's architectural intent, and identifies what would require subsequent detailed work.</w:t>
      </w:r>
    </w:p>
    <w:p>
      <w:pPr>
        <w:spacing w:after="240" w:before="480"/>
      </w:pPr>
      <w:r>
        <w:rPr>
          <w:rFonts w:ascii="Arial" w:cs="Arial" w:eastAsia="Arial" w:hAnsi="Arial"/>
          <w:b/>
          <w:bCs/>
          <w:color w:val="1F4E78"/>
          <w:sz w:val="36"/>
          <w:szCs w:val="36"/>
        </w:rPr>
        <w:t>Architectural intent treatment is parallel to the v3.1.10 Self-Employed and Gig Worker Implementation document which addressed PERSONA-MIN-25/26/27 at the same level. The two documents together close the entire twenty-seven-item PERSONA-MIN backlog. Each item's mitigation is grounded in existing federal infrastructure and established legal doctrine rather than novel constructions: healthcare items leverage 21st Century Cures Act / ONC / FHIR / Medicare Advantage appeal structure; constitutional items leverage Telecommunications Act precedent / standard eminent domain doctrine / standard preemption taxonomy; state items leverage existing federal-state data-sharing infrastructure (HIPAA, FTI, federal data services hub); investment items leverage gradual position-building / index-replicating approach / co-investment structure with explicit reference to the Norwegian Government Pension Fund Global as transparency analogue.</w:t>
      </w:r>
    </w:p>
    <w:p>
      <w:pPr>
        <w:spacing w:after="240" w:before="480"/>
      </w:pPr>
      <w:r>
        <w:rPr>
          <w:rFonts w:ascii="Arial" w:cs="Arial" w:eastAsia="Arial" w:hAnsi="Arial"/>
          <w:b/>
          <w:bCs/>
          <w:color w:val="1F4E78"/>
          <w:sz w:val="36"/>
          <w:szCs w:val="36"/>
        </w:rPr>
        <w:t>RESEARCH-8 added</w:t>
      </w:r>
    </w:p>
    <w:p>
      <w:pPr>
        <w:spacing w:after="240" w:before="480"/>
      </w:pPr>
      <w:r>
        <w:rPr>
          <w:rFonts w:ascii="Arial" w:cs="Arial" w:eastAsia="Arial" w:hAnsi="Arial"/>
          <w:b/>
          <w:bCs/>
          <w:color w:val="1F4E78"/>
          <w:sz w:val="36"/>
          <w:szCs w:val="36"/>
        </w:rPr>
        <w:t>Section 47 also adds RESEARCH-8: Pillar Eight cost validation. v3.2.0's OIR Section 88 narrative referenced this entry but did not actually add the row to Section 47. The discrepancy is reconciled here. RESEARCH-8 is structured parallel to existing RESEARCH items: explicit external-expertise need (labor economist with paid leave program economics expertise), engagement specification can be added to the External Engagement Plan as Kind A validation track item analogous to existing RESEARCH validation tracks. Section 47 totals reflect the addition: registry count moves from sixty-three to sixty-four; OPEN count moves from twenty-two to twelve net of the eleven PERSONA-MIN closures.</w:t>
      </w:r>
    </w:p>
    <w:p>
      <w:pPr>
        <w:spacing w:after="240" w:before="480"/>
      </w:pPr>
      <w:r>
        <w:rPr>
          <w:rFonts w:ascii="Arial" w:cs="Arial" w:eastAsia="Arial" w:hAnsi="Arial"/>
          <w:b/>
          <w:bCs/>
          <w:color w:val="1F4E78"/>
          <w:sz w:val="36"/>
          <w:szCs w:val="36"/>
        </w:rPr>
        <w:t>Significance: end of internal-mitigation cycle</w:t>
      </w:r>
    </w:p>
    <w:p>
      <w:pPr>
        <w:spacing w:after="240" w:before="480"/>
      </w:pPr>
      <w:r>
        <w:rPr>
          <w:rFonts w:ascii="Arial" w:cs="Arial" w:eastAsia="Arial" w:hAnsi="Arial"/>
          <w:b/>
          <w:bCs/>
          <w:color w:val="1F4E78"/>
          <w:sz w:val="36"/>
          <w:szCs w:val="36"/>
        </w:rPr>
        <w:t>v3.2.1 marks the substantive end of the internal-mitigation cycle for Section 47. After this iteration, every persona-driven finding is mitigated, every consistency finding is resolved, every canonical decision is made, every process improvement is implemented. The remaining twelve OPEN items (RESEARCH-1 through 6, RESEARCH-8, PROCESS-3, ITEM79-Q3, PERSONA-SIG-3/4/5) are external-expertise items by definition; they cannot be closed through additional internal iteration. The platform has reached the state where additional internal iteration produces diminishing returns relative to external engagement.</w:t>
      </w:r>
    </w:p>
    <w:p>
      <w:pPr>
        <w:spacing w:after="240" w:before="480"/>
      </w:pPr>
      <w:r>
        <w:rPr>
          <w:rFonts w:ascii="Arial" w:cs="Arial" w:eastAsia="Arial" w:hAnsi="Arial"/>
          <w:b/>
          <w:bCs/>
          <w:color w:val="1F4E78"/>
          <w:sz w:val="36"/>
          <w:szCs w:val="36"/>
        </w:rPr>
        <w:t>This is a significant inflection point. Prior iterations have been about progressively reducing the platform's internal gaps; subsequent iterations will be about responding to external feedback or developing genuinely new platform content. The External Engagement Plan documented in v3.1.11 specifies how external feedback would be sought for the twelve remaining OPEN items; actual outreach execution is the natural follow-on to v3.2.1.</w:t>
      </w:r>
    </w:p>
    <w:p>
      <w:pPr>
        <w:spacing w:after="240" w:before="480"/>
      </w:pPr>
      <w:r>
        <w:rPr>
          <w:rFonts w:ascii="Arial" w:cs="Arial" w:eastAsia="Arial" w:hAnsi="Arial"/>
          <w:b/>
          <w:bCs/>
          <w:color w:val="1F4E78"/>
          <w:sz w:val="36"/>
          <w:szCs w:val="36"/>
        </w:rPr>
        <w:t>What v3.2.1 does NOT change</w:t>
      </w:r>
    </w:p>
    <w:p>
      <w:pPr>
        <w:spacing w:after="240" w:before="480"/>
      </w:pPr>
      <w:r>
        <w:rPr>
          <w:rFonts w:ascii="Arial" w:cs="Arial" w:eastAsia="Arial" w:hAnsi="Arial"/>
          <w:b/>
          <w:bCs/>
          <w:color w:val="1F4E78"/>
          <w:sz w:val="36"/>
          <w:szCs w:val="36"/>
        </w:rPr>
        <w:t>Eight pillars remain unchanged in architecture, contribution rates, and benefit specifications. Master We The People Platform doc unchanged. FFIA unchanged. Audit infrastructure unchanged at eight layers, fifteen distinct check operations. ACRONYMS_REGISTRY unchanged at seventy-two entries. META_TRIGGER_PATTERNS unchanged at six patterns. SECTION_47_ID_PATTERNS unchanged at thirteen entries. TOC_EXCLUDE_FILES unchanged at four files. The v3.2.0 substantive content (Pillar Eight) is preserved as documented.</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Two undefined-acronym findings during Phase 1.5 verification of the new document: CMS and FCC each used three times without expansion. Both fixed via first-use expansion in the new document. No other catches in this iteration.</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v3.2.1 used the four-phase cycle. Phase 1 audit was clean. Phase 2 created the new document covering eleven items, updated Section 47 status for those items, added RESEARCH-8, added manifest entry, added TOC entry. Phase 3 verified clean state across all fifteen audit operations after Standing Rule 1 fixes. Phase 4 documents the iteration here. v3.2.1 is the forty-sixth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Possible next directions per the actionable-items recommendation: Tier 2 #7 (academic outreach using External Engagement Plan templates); Tier 2 #10 (one tribal consultation framework); Tier 3 #11 (Combined Reform Model audit RFP); Tier 5 #23 ("what does done look like" decision document). Or substantive new content development in areas the platform has not yet covered (long-term care, comprehensive climate policy, immigration, housing supply policy were all explicitly scoped out as out-of-scope items; any of them could be brought into scope). Or actual outreach execution using the External Engagement Plan templates (project-management work outside the platform-iteration cycle but the natural next step now that internal mitigation is complete).</w:t>
      </w:r>
    </w:p>
    <w:p>
      <w:pPr>
        <w:pStyle w:val="Heading1"/>
      </w:pPr>
      <w:r>
        <w:t>Section 90: v3.2.2 External Engagement Materials Extension</w:t>
      </w:r>
    </w:p>
    <w:p>
      <w:pPr>
        <w:spacing w:after="240" w:before="480"/>
      </w:pPr>
      <w:r>
        <w:rPr>
          <w:rFonts w:ascii="Arial" w:cs="Arial" w:eastAsia="Arial" w:hAnsi="Arial"/>
          <w:b/>
          <w:bCs/>
          <w:color w:val="1F4E78"/>
          <w:sz w:val="36"/>
          <w:szCs w:val="36"/>
        </w:rPr>
        <w:t>v3.2.2 adds three operational documents that extend the External Engagement Plan v3.1.11 with concrete materials Jason can adapt and use rather than reference reading. The three documents correspond to the three highest-leverage actionable items in the post-iteration recommendation: Tier 2 #7 (academic outreach letter templates), Tier 2 #10 (tribal consultation framework), and Tier 3 #11 (Combined Reform Model audit scope). Together they constitute the operational layer between the engagement plan's per-item specifications and actual external-participant communication.</w:t>
      </w:r>
    </w:p>
    <w:p>
      <w:pPr>
        <w:spacing w:after="240" w:before="480"/>
      </w:pPr>
      <w:r>
        <w:rPr>
          <w:rFonts w:ascii="Arial" w:cs="Arial" w:eastAsia="Arial" w:hAnsi="Arial"/>
          <w:b/>
          <w:bCs/>
          <w:color w:val="1F4E78"/>
          <w:sz w:val="36"/>
          <w:szCs w:val="36"/>
        </w:rPr>
        <w:t>Document one: Academic Outreach Letter Templates</w:t>
      </w:r>
    </w:p>
    <w:p>
      <w:pPr>
        <w:spacing w:after="240" w:before="480"/>
      </w:pPr>
      <w:r>
        <w:rPr>
          <w:rFonts w:ascii="Arial" w:cs="Arial" w:eastAsia="Arial" w:hAnsi="Arial"/>
          <w:b/>
          <w:bCs/>
          <w:color w:val="1F4E78"/>
          <w:sz w:val="36"/>
          <w:szCs w:val="36"/>
        </w:rPr>
        <w:t>05_Academic_Outreach_Letter_Templates.docx (sixty-nine paragraphs, v1.0). Provides outreach materials organized by recipient tier: individual academic researcher cold email (generic template plus item-specific variants for the highest-priority RESEARCH and PERSONA-SIG items); academic policy centers and programs (departmental pitches for Brookings Hutchins, Penn Wharton, Hamilton Project, Roosevelt Institute, and university policy schools generally); working paper venues (SSRN submission framing, NBER and RFF considerations); follow-up correspondence templates (two-week follow-up, positive-response acknowledgment, polite-decline acknowledgment); per-item recipient reading paths. Realistic response expectations documented: cold outreach engages roughly one in five to one in ten attempts; thirty to fifty outreach attempts to produce five to ten substantive engagements; four to twelve weeks from first outreach to substantive feedback.</w:t>
      </w:r>
    </w:p>
    <w:p>
      <w:pPr>
        <w:spacing w:after="240" w:before="480"/>
      </w:pPr>
      <w:r>
        <w:rPr>
          <w:rFonts w:ascii="Arial" w:cs="Arial" w:eastAsia="Arial" w:hAnsi="Arial"/>
          <w:b/>
          <w:bCs/>
          <w:color w:val="1F4E78"/>
          <w:sz w:val="36"/>
          <w:szCs w:val="36"/>
        </w:rPr>
        <w:t>Document two: Tribal Consultation Framework</w:t>
      </w:r>
    </w:p>
    <w:p>
      <w:pPr>
        <w:spacing w:after="240" w:before="480"/>
      </w:pPr>
      <w:r>
        <w:rPr>
          <w:rFonts w:ascii="Arial" w:cs="Arial" w:eastAsia="Arial" w:hAnsi="Arial"/>
          <w:b/>
          <w:bCs/>
          <w:color w:val="1F4E78"/>
          <w:sz w:val="36"/>
          <w:szCs w:val="36"/>
        </w:rPr>
        <w:t>05_Tribal_Consultation_Framework.docx (sixty-one paragraphs, v1.0). Provides framework for the ITEM79-Q3 government-to-government consultation. Content organized as: legal-framework background (executive orders, statutory authorities); consultation principles (government-to-government respect; free, prior, informed dialogue; consultation as dialogue not approval-seeking; documentation and accountability); rationale for consultation timing during platform development rather than during enactment or implementation; suggested staged approach (national tribal organization introduction, written briefing, direct tribal-government outreach, consultation meeting if invited, documentation and incorporation); suggested initial consultation partners across geographic regions (Pacific Northwest, Southwest, Plains, Eastern); materials package specification; sample initial outreach letter to NCAI executive director.</w:t>
      </w:r>
    </w:p>
    <w:p>
      <w:pPr>
        <w:spacing w:after="240" w:before="480"/>
      </w:pPr>
      <w:r>
        <w:rPr>
          <w:rFonts w:ascii="Arial" w:cs="Arial" w:eastAsia="Arial" w:hAnsi="Arial"/>
          <w:b/>
          <w:bCs/>
          <w:color w:val="1F4E78"/>
          <w:sz w:val="36"/>
          <w:szCs w:val="36"/>
        </w:rPr>
        <w:t>Document three: Combined Reform Model Audit Scope</w:t>
      </w:r>
    </w:p>
    <w:p>
      <w:pPr>
        <w:spacing w:after="240" w:before="480"/>
      </w:pPr>
      <w:r>
        <w:rPr>
          <w:rFonts w:ascii="Arial" w:cs="Arial" w:eastAsia="Arial" w:hAnsi="Arial"/>
          <w:b/>
          <w:bCs/>
          <w:color w:val="1F4E78"/>
          <w:sz w:val="36"/>
          <w:szCs w:val="36"/>
        </w:rPr>
        <w:t>05_Combined_Reform_Model_Audit_Scope.docx (fifty-four paragraphs, v1.0). Provides RFP / scope of work for commissioning the PROCESS-3 audit. Content organized as: audit objective; scope of work (models in scope, models out of scope, audit categories per SR 11-7 Model Risk Management framework); audit standards reference (SR 11-7 plus CFA Institute, ISDA, ASOP secondary references); deliverables specification (findings memo, replication test results, sensitivity analysis assessment, recommendations summary); auditor qualifications (required expertise, required independence, acceptable engagement forms); estimated four-to-six-month timeline; budget range twenty thousand to fifty thousand dollars; evaluation criteria; response requirements; post-audit process commitment to documenting and either incorporating, rebutting, or marking-as-known-unresolved each finding.</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Six findings on first audit pass after document creation. Three were expected (manifest entries and TOC entries needed for the three new documents). Three required substantive fixes. First, cross-reference unresolved: the audit scope document referenced a documentation filename matching the spreadsheet name but the actual artifact in the package is 04_Combined_Reform_Model.xlsx; reference corrected to point at the actual spreadsheet implementation. Second, stale OIR section reference flagged on Section 106: the tribal consultation document referenced the historic preservation review section of the NHPA (the historic preservation review process) in a paragraph that also mentioned the Open Issues Registry, triggering the audit's OIR-section-reference proximity check; reworded to use descriptive phrases (NHPA's historic preservation review provisions) rather than the Section-N pattern, eliminating the false positive without losing reference accuracy. Third, two undefined-acronym findings: JCT in the audit scope document and CMS in the Academic Outreach document, both fixed with first-use expansion.</w:t>
      </w:r>
    </w:p>
    <w:p>
      <w:pPr>
        <w:spacing w:after="240" w:before="480"/>
      </w:pPr>
      <w:r>
        <w:rPr>
          <w:rFonts w:ascii="Arial" w:cs="Arial" w:eastAsia="Arial" w:hAnsi="Arial"/>
          <w:b/>
          <w:bCs/>
          <w:color w:val="1F4E78"/>
          <w:sz w:val="36"/>
          <w:szCs w:val="36"/>
        </w:rPr>
        <w:t>What v3.2.2 does NOT change</w:t>
      </w:r>
    </w:p>
    <w:p>
      <w:pPr>
        <w:spacing w:after="240" w:before="480"/>
      </w:pPr>
      <w:r>
        <w:rPr>
          <w:rFonts w:ascii="Arial" w:cs="Arial" w:eastAsia="Arial" w:hAnsi="Arial"/>
          <w:b/>
          <w:bCs/>
          <w:color w:val="1F4E78"/>
          <w:sz w:val="36"/>
          <w:szCs w:val="36"/>
        </w:rPr>
        <w:t>Section 47 unchanged at sixty-four Y / zero N out of sixty-four. Audit infrastructure unchanged at eight layers, fifteen distinct check operations. ACRONYMS_REGISTRY unchanged. META_TRIGGER_PATTERNS unchanged. SECTION_47_ID_PATTERNS unchanged. TOC_EXCLUDE_FILES unchanged. The eight pillars remain unchanged in architecture, contribution rates, and benefit specifications. The three new documents are operational deliverables that do not modify platform substantive content; they enable execution of platform engagement strategy without changing the platform's analytical claims.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v3.2.2 used the four-phase cycle. Phase 1 audit was clean. Phase 2 created three new documents (one hundred eighty-four paragraphs across all three), updated Section 47 status not applicable for this iteration, added three manifest entries, added TOC entries eighty-six through eighty-eight. Standing Rule 1 caught six findings (three expected for new docs; three substantive: cross-reference, OIR-section-reference false positive, two acronym findings); all fixed in re-loop. Phase 3 verified clean state across all fifteen audit operations. Phase 4 documents the iteration here. v3.2.2 is the forty-seventh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The fourth recommended actionable item from the post-v3.2.1 list remains: Tier 5 #23, the "what does done look like" decision document. This is qualitatively different from the three documents created in v3.2.2 because it requires the lead author's decision rather than the lead author's synthesis; the document can be drafted to frame the decision options but the decision itself is Jason's to make. Beyond that, possible directions are substantive new content development in areas previously scoped out (long-term care, comprehensive climate policy, immigration, housing supply policy could each become new pillars or new analytical framing documents) or actual outreach execution using the templates and frameworks created in v3.2.2 (project-management work outside the platform-iteration cycle but the natural next step for the templates this iteration produced).</w:t>
      </w:r>
    </w:p>
    <w:p>
      <w:pPr>
        <w:pStyle w:val="Heading1"/>
      </w:pPr>
      <w:r>
        <w:t>Section 91: v3.2.3 Tribal Consultation Briefing Document</w:t>
      </w:r>
    </w:p>
    <w:p>
      <w:pPr>
        <w:spacing w:after="240" w:before="480"/>
      </w:pPr>
      <w:r>
        <w:rPr>
          <w:rFonts w:ascii="Arial" w:cs="Arial" w:eastAsia="Arial" w:hAnsi="Arial"/>
          <w:b/>
          <w:bCs/>
          <w:color w:val="1F4E78"/>
          <w:sz w:val="36"/>
          <w:szCs w:val="36"/>
        </w:rPr>
        <w:t>v3.2.3 creates the tribal consultation briefing document referenced as a follow-on deliverable in the v3.2.2 Tribal Consultation Framework. The document is the actual material that would be sent to tribal governments and national tribal organizations as stage two of the consultation process specified in the framework. Together the framework (process) and the briefing (material) constitute the complete tribal-consultation infrastructure for the ITEM79-Q3 engagement; what remains is execution (actually sending the briefing per the framework's stage-one approach via national tribal organization introduction).</w:t>
      </w:r>
    </w:p>
    <w:p>
      <w:pPr>
        <w:spacing w:after="240" w:before="480"/>
      </w:pPr>
      <w:r>
        <w:rPr>
          <w:rFonts w:ascii="Arial" w:cs="Arial" w:eastAsia="Arial" w:hAnsi="Arial"/>
          <w:b/>
          <w:bCs/>
          <w:color w:val="1F4E78"/>
          <w:sz w:val="36"/>
          <w:szCs w:val="36"/>
        </w:rPr>
        <w:t>What the briefing provides</w:t>
      </w:r>
    </w:p>
    <w:p>
      <w:pPr>
        <w:spacing w:after="240" w:before="480"/>
      </w:pPr>
      <w:r>
        <w:rPr>
          <w:rFonts w:ascii="Arial" w:cs="Arial" w:eastAsia="Arial" w:hAnsi="Arial"/>
          <w:b/>
          <w:bCs/>
          <w:color w:val="1F4E78"/>
          <w:sz w:val="36"/>
          <w:szCs w:val="36"/>
        </w:rPr>
        <w:t>Forty-four paragraphs across nine sections (about the document, about the platform, federal infrastructure deployment architecture brief, tribal-lands handling current platform position, six specific consultation questions across two paragraphs each, process commitments, about the lead author, how to respond, available materials, closing). Tone is governmental and respectful; assumes federal-tribal-consultation literacy without familiarity with this specific platform. Document is standalone (not requiring engagement with full platform materials) at approximately six pages.</w:t>
      </w:r>
    </w:p>
    <w:p>
      <w:pPr>
        <w:spacing w:after="240" w:before="480"/>
      </w:pPr>
      <w:r>
        <w:rPr>
          <w:rFonts w:ascii="Arial" w:cs="Arial" w:eastAsia="Arial" w:hAnsi="Arial"/>
          <w:b/>
          <w:bCs/>
          <w:color w:val="1F4E78"/>
          <w:sz w:val="36"/>
          <w:szCs w:val="36"/>
        </w:rPr>
        <w:t>The six consultation questions cover: adequacy of the existing FIF Architecture tribal sovereignty section; consultation process specifications for federal-program deployment decisions; right-of-way and easement framework for federal-program telecommunications infrastructure on trust lands; cultural-site protection mechanisms; tribal-specific deployment priorities and concerns; preferred ongoing communication channel. Tribal-government responses can engage with any subset of questions; complete response is not expected. Responses can range from substantive analytical critique to acknowledgment that existing treatment is approximately right.</w:t>
      </w:r>
    </w:p>
    <w:p>
      <w:pPr>
        <w:spacing w:after="240" w:before="480"/>
      </w:pPr>
      <w:r>
        <w:rPr>
          <w:rFonts w:ascii="Arial" w:cs="Arial" w:eastAsia="Arial" w:hAnsi="Arial"/>
          <w:b/>
          <w:bCs/>
          <w:color w:val="1F4E78"/>
          <w:sz w:val="36"/>
          <w:szCs w:val="36"/>
        </w:rPr>
        <w:t>Process commitments</w:t>
      </w:r>
    </w:p>
    <w:p>
      <w:pPr>
        <w:spacing w:after="240" w:before="480"/>
      </w:pPr>
      <w:r>
        <w:rPr>
          <w:rFonts w:ascii="Arial" w:cs="Arial" w:eastAsia="Arial" w:hAnsi="Arial"/>
          <w:b/>
          <w:bCs/>
          <w:color w:val="1F4E78"/>
          <w:sz w:val="36"/>
          <w:szCs w:val="36"/>
        </w:rPr>
        <w:t>The briefing makes explicit the process commitments documented in the consultation framework: documentation of all interactions per tribal-government documentation preferences; accuracy review through documentation shared back before incorporation into the public record; attribution of contributing tribal governments by name unless they request otherwise; substantive feedback incorporated into platform iterations with explicit acknowledgment; no specific timeline demands; respect for tribal-government decisions to defer or decline engagement.</w:t>
      </w:r>
    </w:p>
    <w:p>
      <w:pPr>
        <w:spacing w:after="240" w:before="480"/>
      </w:pPr>
      <w:r>
        <w:rPr>
          <w:rFonts w:ascii="Arial" w:cs="Arial" w:eastAsia="Arial" w:hAnsi="Arial"/>
          <w:b/>
          <w:bCs/>
          <w:color w:val="1F4E78"/>
          <w:sz w:val="36"/>
          <w:szCs w:val="36"/>
        </w:rPr>
        <w:t>About the lead author transparency</w:t>
      </w:r>
    </w:p>
    <w:p>
      <w:pPr>
        <w:spacing w:after="240" w:before="480"/>
      </w:pPr>
      <w:r>
        <w:rPr>
          <w:rFonts w:ascii="Arial" w:cs="Arial" w:eastAsia="Arial" w:hAnsi="Arial"/>
          <w:b/>
          <w:bCs/>
          <w:color w:val="1F4E78"/>
          <w:sz w:val="36"/>
          <w:szCs w:val="36"/>
        </w:rPr>
        <w:t>The briefing includes a transparency section about the lead author, covering professional background (data integration engineer, not a credentialed economist or policy professional), affiliation status (no political party, advocacy organization, government agency, or tribal organization affiliation), and geographic relationship (Ohio resident; non-tribal; awareness of Ohio's tribal-removal history offered transparently as part of consultation context). The disclosure is parallel to the platform's broader analytical-framing transparency about lead-author non-credentialing.</w:t>
      </w:r>
    </w:p>
    <w:p>
      <w:pPr>
        <w:spacing w:after="240" w:before="480"/>
      </w:pPr>
      <w:r>
        <w:rPr>
          <w:rFonts w:ascii="Arial" w:cs="Arial" w:eastAsia="Arial" w:hAnsi="Arial"/>
          <w:b/>
          <w:bCs/>
          <w:color w:val="1F4E78"/>
          <w:sz w:val="36"/>
          <w:szCs w:val="36"/>
        </w:rPr>
        <w:t>What v3.2.3 does NOT change</w:t>
      </w:r>
    </w:p>
    <w:p>
      <w:pPr>
        <w:spacing w:after="240" w:before="480"/>
      </w:pPr>
      <w:r>
        <w:rPr>
          <w:rFonts w:ascii="Arial" w:cs="Arial" w:eastAsia="Arial" w:hAnsi="Arial"/>
          <w:b/>
          <w:bCs/>
          <w:color w:val="1F4E78"/>
          <w:sz w:val="36"/>
          <w:szCs w:val="36"/>
        </w:rPr>
        <w:t>Section 47 unchanged at sixty-four Y / zero N out of sixty-four. Audit infrastructure unchanged. The eight pillars unchanged. ITEM79-Q3 status unchanged at OPEN/Y (closure requires actual consultation, not just creation of the briefing material). The Tribal Consultation Framework v3.2.2 reference to the briefing as a follow-on deliverable is now satisfied; the framework's cross-reference can in principle be updated to reflect that the briefing exists, though that update is small and could be deferred.</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Two findings on first audit pass after document creation, both expected (manifest entry and TOC entry needed for the new document); both resolved in standard manifest-and-TOC update sequence. No substantive Standing Rule 1 catches in this iteration; the briefing document was drafted with awareness of the audit conventions established in prior iterations and avoided the trigger patterns (no NHPA-Section-N references near OIR-context language; acronyms expanded on first use; no cross-references to nonexistent files).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v3.2.3 used the four-phase cycle. Phase 1 audit was clean. Phase 2 created the briefing document, added the manifest entry, added TOC entry eighty-nine. Phase 3 verified clean state across all fifteen audit operations. Phase 4 documents the iteration here. v3.2.3 is the forty-eighth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The remaining recommended internal action from the post-v3.2.2 actionable items list is the "what does done look like" decision document (Tier 1 #1 in the refreshed list). The remaining recommended substantive direction is platform scope expansion to bring previously out-of-scope areas in-scope (long-term care, comprehensive climate policy, housing supply policy, immigration policy). Per Jason's direction following v3.2.3, both directions proceed: the platform scope expansion (adding four new pillars) is the subsequent iteration, structurally the largest expansion in the platform's iteration history.</w:t>
      </w:r>
    </w:p>
    <w:p>
      <w:pPr>
        <w:pStyle w:val="Heading1"/>
      </w:pPr>
      <w:r>
        <w:t>Section 92: v3.2.4 Harden Cycle</w:t>
      </w:r>
    </w:p>
    <w:p>
      <w:pPr>
        <w:spacing w:after="240" w:before="480"/>
      </w:pPr>
      <w:r>
        <w:rPr>
          <w:rFonts w:ascii="Arial" w:cs="Arial" w:eastAsia="Arial" w:hAnsi="Arial"/>
          <w:b/>
          <w:bCs/>
          <w:color w:val="1F4E78"/>
          <w:sz w:val="36"/>
          <w:szCs w:val="36"/>
        </w:rPr>
        <w:t>v3.2.4 ran the four-phase harden cycle on the v3.2.3 package. The cycle followed the canonical pattern (audit, mitigate, verify, document) with fresh-angle prototyping during phase one to surface findings the standard audit operations did not catch. Two real findings emerged from the prototyping work; both were stale-content findings on documents that had drifted out of sync with current package state across many iterations. A new audit operation was codified to catch the same failure mode going forward.</w:t>
      </w:r>
    </w:p>
    <w:p>
      <w:pPr>
        <w:spacing w:after="240" w:before="480"/>
      </w:pPr>
      <w:r>
        <w:rPr>
          <w:rFonts w:ascii="Arial" w:cs="Arial" w:eastAsia="Arial" w:hAnsi="Arial"/>
          <w:b/>
          <w:bCs/>
          <w:color w:val="1F4E78"/>
          <w:sz w:val="36"/>
          <w:szCs w:val="36"/>
        </w:rPr>
        <w:t>Phase one: baseline plus fresh-angle prototyping</w:t>
      </w:r>
    </w:p>
    <w:p>
      <w:pPr>
        <w:spacing w:after="240" w:before="480"/>
      </w:pPr>
      <w:r>
        <w:rPr>
          <w:rFonts w:ascii="Arial" w:cs="Arial" w:eastAsia="Arial" w:hAnsi="Arial"/>
          <w:b/>
          <w:bCs/>
          <w:color w:val="1F4E78"/>
          <w:sz w:val="36"/>
          <w:szCs w:val="36"/>
        </w:rPr>
        <w:t>Baseline audit on the inherited v3.2.3 state was clean across all fifteen audit operations. Phase one then prototyped three fresh angles. The first angle attempted a broader manifest-version-versus-document-actual-version sweep using a more permissive regex than the existing manifest-version-consistency check; this produced multiple apparent mismatches that on inspection were all false positives. The permissive regex was catching platform-context references such as 'created for platform-version-X' rather than the document's own version line. The existing audit operation's stricter pattern was confirmed adequate. The second angle scanned for documents without parseable version lines in the standard format; five documents were flagged but inspection showed they used different but valid version-line formats (with the version embedded mid-line rather than at start of paragraph). The third angle checked Section 47 status-versus-description integrity; this came back clean.</w:t>
      </w:r>
    </w:p>
    <w:p>
      <w:pPr>
        <w:spacing w:after="240" w:before="480"/>
      </w:pPr>
      <w:r>
        <w:rPr>
          <w:rFonts w:ascii="Arial" w:cs="Arial" w:eastAsia="Arial" w:hAnsi="Arial"/>
          <w:b/>
          <w:bCs/>
          <w:color w:val="1F4E78"/>
          <w:sz w:val="36"/>
          <w:szCs w:val="36"/>
        </w:rPr>
        <w:t>Real findings</w:t>
      </w:r>
    </w:p>
    <w:p>
      <w:pPr>
        <w:spacing w:after="240" w:before="480"/>
      </w:pPr>
      <w:r>
        <w:rPr>
          <w:rFonts w:ascii="Arial" w:cs="Arial" w:eastAsia="Arial" w:hAnsi="Arial"/>
          <w:b/>
          <w:bCs/>
          <w:color w:val="1F4E78"/>
          <w:sz w:val="36"/>
          <w:szCs w:val="36"/>
        </w:rPr>
        <w:t>Two real findings emerged from manual content review during the prototyping work. First, the Platform Package Version document's intro paragraph claimed an outdated count of documents and models that was last accurate around the v2.x package state and had drifted stale across approximately fifteen subsequent additive iterations. The phrase was corrected to reflect the actual current count. Second, the README.txt header had an 'Updated' line that pointed at an iteration from many cycles ago; the changelog body was complete and accurate through the latest iteration but the intro line had never been updated as iterations accumulated. The header line was corrected to point at the latest iteration with a brief note directing readers to the changelog for full version history.</w:t>
      </w:r>
    </w:p>
    <w:p>
      <w:pPr>
        <w:spacing w:after="240" w:before="480"/>
      </w:pPr>
      <w:r>
        <w:rPr>
          <w:rFonts w:ascii="Arial" w:cs="Arial" w:eastAsia="Arial" w:hAnsi="Arial"/>
          <w:b/>
          <w:bCs/>
          <w:color w:val="1F4E78"/>
          <w:sz w:val="36"/>
          <w:szCs w:val="36"/>
        </w:rPr>
        <w:t>Codification: PV doc count-claim consistency check</w:t>
      </w:r>
    </w:p>
    <w:p>
      <w:pPr>
        <w:spacing w:after="240" w:before="480"/>
      </w:pPr>
      <w:r>
        <w:rPr>
          <w:rFonts w:ascii="Arial" w:cs="Arial" w:eastAsia="Arial" w:hAnsi="Arial"/>
          <w:b/>
          <w:bCs/>
          <w:color w:val="1F4E78"/>
          <w:sz w:val="36"/>
          <w:szCs w:val="36"/>
        </w:rPr>
        <w:t>The first finding represents a recurring failure mode worth codifying: the Platform Package Version document's intro count claim drifts stale as iterations add new files but the intro paragraph is rarely the focus of iteration work. A new audit operation, the sixteenth in the audit infrastructure, was added to catch this. The check finds the count claim in the Platform Package Version document's intro region (first thirty paragraphs to avoid catching changelog mentions), counts the actual DOCX and XLSX files in the package, and reports a MIN-severity finding if the claimed count differs from the actual count. Three-test verification confirmed the new operation: passes on current state, catches a synthetic regression with correct error message, passes again after restore. The second finding (README header line) was assessed as a one-time stale-content fix not worth codifying; README headers update in the same iteration that updates the changelog body, so the failure mode is unlikely to recur with the same character.</w:t>
      </w:r>
    </w:p>
    <w:p>
      <w:pPr>
        <w:spacing w:after="240" w:before="480"/>
      </w:pPr>
      <w:r>
        <w:rPr>
          <w:rFonts w:ascii="Arial" w:cs="Arial" w:eastAsia="Arial" w:hAnsi="Arial"/>
          <w:b/>
          <w:bCs/>
          <w:color w:val="1F4E78"/>
          <w:sz w:val="36"/>
          <w:szCs w:val="36"/>
        </w:rPr>
        <w:t>What v3.2.4 does NOT change</w:t>
      </w:r>
    </w:p>
    <w:p>
      <w:pPr>
        <w:spacing w:after="240" w:before="480"/>
      </w:pPr>
      <w:r>
        <w:rPr>
          <w:rFonts w:ascii="Arial" w:cs="Arial" w:eastAsia="Arial" w:hAnsi="Arial"/>
          <w:b/>
          <w:bCs/>
          <w:color w:val="1F4E78"/>
          <w:sz w:val="36"/>
          <w:szCs w:val="36"/>
        </w:rPr>
        <w:t>Section 47 unchanged at sixty-four Y / zero N out of sixty-four. The eight pillars unchanged in architecture, contribution rates, benefit specifications. No new content documents added; no Section 47 entries closed, opened, or modified. The audit infrastructure now has eight layers and sixteen operations (was fifteen). ACRONYMS_REGISTRY, META_TRIGGER_PATTERNS, SECTION_47_ID_PATTERNS, and TOC_EXCLUDE_FILES all unchanged.</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v3.2.4 used the four-phase cycle. Phase one audit was clean; phase one fresh-angle prototyping surfaced two real findings. Phase two mitigated both findings and codified a new audit operation. Phase three verified the new operation works correctly via three-test pattern (current-state pass, synthetic-regression catch, post-restore pass). Phase four documents the iteration here. v3.2.4 is the forty-ninth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v3.2.4 closes a small operational gap (stale current-state claims) without addressing the larger directional question the post-v3.2.3 actionable items list surfaced. The four substantive scope expansions (long-term care, climate, housing, immigration) remain pending architecture proposal review and execution decision. The 'what does done look like' decision document also remains pending. Both directions are qualitatively different from the kind of work v3.2.4 did; v3.2.4 is iteration-internal cleanup, while the pending directions are externally-facing strategic decisions.</w:t>
      </w:r>
    </w:p>
    <w:p>
      <w:pPr>
        <w:pStyle w:val="Heading1"/>
      </w:pPr>
      <w:r>
        <w:t>Section 93: v3.2.5 GUI Navigation Interface Bundled With Package</w:t>
      </w:r>
    </w:p>
    <w:p>
      <w:pPr>
        <w:spacing w:after="240" w:before="480"/>
      </w:pPr>
      <w:r>
        <w:rPr>
          <w:rFonts w:ascii="Arial" w:cs="Arial" w:eastAsia="Arial" w:hAnsi="Arial"/>
          <w:b/>
          <w:bCs/>
          <w:color w:val="1F4E78"/>
          <w:sz w:val="36"/>
          <w:szCs w:val="36"/>
        </w:rPr>
        <w:t>v3.2.5 bundles the platform's browser-based navigation GUI into the package itself. Prior to this iteration the GUI files (HTML index page, catalog data, README) had been produced as separate deliverables outside the platform package; reviewers needing navigation had to obtain them separately from the platform zip. v3.2.5 places all four GUI files into the platform's root directory so that any reviewer extracting the package zip immediately has navigation access by double-clicking the HTML file.</w:t>
      </w:r>
    </w:p>
    <w:p>
      <w:pPr>
        <w:spacing w:after="240" w:before="480"/>
      </w:pPr>
      <w:r>
        <w:rPr>
          <w:rFonts w:ascii="Arial" w:cs="Arial" w:eastAsia="Arial" w:hAnsi="Arial"/>
          <w:b/>
          <w:bCs/>
          <w:color w:val="1F4E78"/>
          <w:sz w:val="36"/>
          <w:szCs w:val="36"/>
        </w:rPr>
        <w:t>What was added</w:t>
      </w:r>
    </w:p>
    <w:p>
      <w:pPr>
        <w:spacing w:after="240" w:before="480"/>
      </w:pPr>
      <w:r>
        <w:rPr>
          <w:rFonts w:ascii="Arial" w:cs="Arial" w:eastAsia="Arial" w:hAnsi="Arial"/>
          <w:b/>
          <w:bCs/>
          <w:color w:val="1F4E78"/>
          <w:sz w:val="36"/>
          <w:szCs w:val="36"/>
        </w:rPr>
        <w:t>Four files added to the platform's root directory. The primary file is platform_index.html, an editorial-aesthetic navigation interface that displays all platform documents in card or list views with real-time search, filtering by file type and pillar and folder, four view modes, and quick links to the most-referenced documents. Companion files are platform_catalog.js (the catalog data loaded by the HTML; the script-tag loading approach avoids the browser fetch restrictions that block JSON loading from file URLs), platform_catalog.json (the same catalog data as JSON for any programmatic use case; not loaded by the HTML directly), and platform_index_README.md (installation, customization, and update instructions for the GUI).</w:t>
      </w:r>
    </w:p>
    <w:p>
      <w:pPr>
        <w:spacing w:after="240" w:before="480"/>
      </w:pPr>
      <w:r>
        <w:rPr>
          <w:rFonts w:ascii="Arial" w:cs="Arial" w:eastAsia="Arial" w:hAnsi="Arial"/>
          <w:b/>
          <w:bCs/>
          <w:color w:val="1F4E78"/>
          <w:sz w:val="36"/>
          <w:szCs w:val="36"/>
        </w:rPr>
        <w:t>Manifest and TOC integration</w:t>
      </w:r>
    </w:p>
    <w:p>
      <w:pPr>
        <w:spacing w:after="240" w:before="480"/>
      </w:pPr>
      <w:r>
        <w:rPr>
          <w:rFonts w:ascii="Arial" w:cs="Arial" w:eastAsia="Arial" w:hAnsi="Arial"/>
          <w:b/>
          <w:bCs/>
          <w:color w:val="1F4E78"/>
          <w:sz w:val="36"/>
          <w:szCs w:val="36"/>
        </w:rPr>
        <w:t>The platform_index.html file was added to the Platform Package Version document's manifest as a new HTML entry modeled on the existing Calculator manifest entry. The TOC received a new entry (entry 90) describing the GUI's purpose and usage. The catalog data structure was updated to include itself as the ninetieth document with a new Platform Root folder category. The intro count claim remains accurate at eighty-nine documents and models because the GUI is HTML rather than DOCX or XLSX.</w:t>
      </w:r>
    </w:p>
    <w:p>
      <w:pPr>
        <w:spacing w:after="240" w:before="480"/>
      </w:pPr>
      <w:r>
        <w:rPr>
          <w:rFonts w:ascii="Arial" w:cs="Arial" w:eastAsia="Arial" w:hAnsi="Arial"/>
          <w:b/>
          <w:bCs/>
          <w:color w:val="1F4E78"/>
          <w:sz w:val="36"/>
          <w:szCs w:val="36"/>
        </w:rPr>
        <w:t>Why bundle into the package</w:t>
      </w:r>
    </w:p>
    <w:p>
      <w:pPr>
        <w:spacing w:after="240" w:before="480"/>
      </w:pPr>
      <w:r>
        <w:rPr>
          <w:rFonts w:ascii="Arial" w:cs="Arial" w:eastAsia="Arial" w:hAnsi="Arial"/>
          <w:b/>
          <w:bCs/>
          <w:color w:val="1F4E78"/>
          <w:sz w:val="36"/>
          <w:szCs w:val="36"/>
        </w:rPr>
        <w:t>External reviewers receiving the platform as a zip extract the contents and look for an entry point. Without the GUI in the package, the entry point is the README.txt or the Platform Package TOC document; both work but require reviewers to read text and then navigate the file system manually. With the GUI in the package, the entry point becomes the HTML index page, which presents the platform's ninety documents as a navigable browser interface within seconds of extraction. This substantially reduces the friction for any reviewer evaluating whether to engage deeply with the platform; reviewers can scan, filter, and click directly into documents of interest without needing to first orient themselves through the package's folder taxonomy.</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Two findings on first audit pass after file copy and manifest entry. The first was an expected manifest-orphan finding for platform_index.html before the manifest entry was added; resolved by the manifest update. The second was an expected TOC-coverage finding for the same file before TOC entry ninety was added; resolved by the TOC update. Both were anticipated outcomes of file addition and resolved in the standard manifest-and-TOC update sequence. No substantive Standing Rule 1 catches in this iteration; the GUI files were drafted with awareness of audit conventions established in prior iterations and produced no acronym, cross-reference, or section-reference issues.</w:t>
      </w:r>
    </w:p>
    <w:p>
      <w:pPr>
        <w:spacing w:after="240" w:before="480"/>
      </w:pPr>
      <w:r>
        <w:rPr>
          <w:rFonts w:ascii="Arial" w:cs="Arial" w:eastAsia="Arial" w:hAnsi="Arial"/>
          <w:b/>
          <w:bCs/>
          <w:color w:val="1F4E78"/>
          <w:sz w:val="36"/>
          <w:szCs w:val="36"/>
        </w:rPr>
        <w:t>What v3.2.5 does NOT change</w:t>
      </w:r>
    </w:p>
    <w:p>
      <w:pPr>
        <w:spacing w:after="240" w:before="480"/>
      </w:pPr>
      <w:r>
        <w:rPr>
          <w:rFonts w:ascii="Arial" w:cs="Arial" w:eastAsia="Arial" w:hAnsi="Arial"/>
          <w:b/>
          <w:bCs/>
          <w:color w:val="1F4E78"/>
          <w:sz w:val="36"/>
          <w:szCs w:val="36"/>
        </w:rPr>
        <w:t>Section 47 unchanged at sixty-four Y / zero N out of sixty-four. The eight pillars unchanged in architecture, contribution rates, benefit specifications. No new analytical content; the platform's analytical claims and modeling are unchanged. Audit infrastructure unchanged at eight layers and sixteen operations. The GUI is a navigation tool, not platform substantive content.</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v3.2.5 used the four-phase cycle. Phase one audit was clean. Phase two added four files to package root, added one manifest entry, added one TOC entry, regenerated the GUI catalog data with a self-entry. Phase three verified clean state across all sixteen audit operations. Phase four documents the iteration here. v3.2.5 is the fiftieth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v3.2.5 closes the GUI-bundling oversight from earlier iterations. The pending substantive directions remain unchanged: the four-pillar scope expansion architecture decision (long-term care, climate, housing, immigration) and the 'what does done look like' decision document. Both are qualitatively different from v3.2.5 (which is package-level packaging) and require strategic decisions rather than additive content.</w:t>
      </w:r>
    </w:p>
    <w:p>
      <w:pPr>
        <w:pStyle w:val="Heading1"/>
      </w:pPr>
      <w:r>
        <w:t>Section 94: v3.2.6 GUI Click Affordance Enhancement</w:t>
      </w:r>
    </w:p>
    <w:p>
      <w:pPr>
        <w:spacing w:after="240" w:before="480"/>
      </w:pPr>
      <w:r>
        <w:rPr>
          <w:rFonts w:ascii="Arial" w:cs="Arial" w:eastAsia="Arial" w:hAnsi="Arial"/>
          <w:b/>
          <w:bCs/>
          <w:color w:val="1F4E78"/>
          <w:sz w:val="36"/>
          <w:szCs w:val="36"/>
        </w:rPr>
        <w:t>v3.2.6 enhances the GUI navigation interface bundled in v3.2.5 with explicit visual affordance for file-opening actions. User feedback identified that clicking a document card or quick link opens the underlying file, but the existing visual cues (file type badge, hover states) did not unambiguously signal this to first-time reviewers. v3.2.6 adds the conventional external-link arrow icon to every document card and to every quick link in the dark navigation banner, making the click-to-open behavior immediately obvious.</w:t>
      </w:r>
    </w:p>
    <w:p>
      <w:pPr>
        <w:spacing w:after="240" w:before="480"/>
      </w:pPr>
      <w:r>
        <w:rPr>
          <w:rFonts w:ascii="Arial" w:cs="Arial" w:eastAsia="Arial" w:hAnsi="Arial"/>
          <w:b/>
          <w:bCs/>
          <w:color w:val="1F4E78"/>
          <w:sz w:val="36"/>
          <w:szCs w:val="36"/>
        </w:rPr>
        <w:t>Visual changes</w:t>
      </w:r>
    </w:p>
    <w:p>
      <w:pPr>
        <w:spacing w:after="240" w:before="480"/>
      </w:pPr>
      <w:r>
        <w:rPr>
          <w:rFonts w:ascii="Arial" w:cs="Arial" w:eastAsia="Arial" w:hAnsi="Arial"/>
          <w:b/>
          <w:bCs/>
          <w:color w:val="1F4E78"/>
          <w:sz w:val="36"/>
          <w:szCs w:val="36"/>
        </w:rPr>
        <w:t>Each document card now displays a small external-link arrow icon in its top-right corner alongside the file type badge. The icon is rendered in the muted ink-faint color when passive and brightens to the brick-red accent when the card is hovered, simultaneously animating with a small upward-rightward translation that visually echoes the icon's own shape. The list view places the icon at the right edge of each row. Each quick link in the dark banner gains a small version of the same icon prefixing the link text, with opacity transitions on hover. The Source Folder link retains its existing folder icon (which already communicates its specific function).</w:t>
      </w:r>
    </w:p>
    <w:p>
      <w:pPr>
        <w:spacing w:after="240" w:before="480"/>
      </w:pPr>
      <w:r>
        <w:rPr>
          <w:rFonts w:ascii="Arial" w:cs="Arial" w:eastAsia="Arial" w:hAnsi="Arial"/>
          <w:b/>
          <w:bCs/>
          <w:color w:val="1F4E78"/>
          <w:sz w:val="36"/>
          <w:szCs w:val="36"/>
        </w:rPr>
        <w:t>Affordance design</w:t>
      </w:r>
    </w:p>
    <w:p>
      <w:pPr>
        <w:spacing w:after="240" w:before="480"/>
      </w:pPr>
      <w:r>
        <w:rPr>
          <w:rFonts w:ascii="Arial" w:cs="Arial" w:eastAsia="Arial" w:hAnsi="Arial"/>
          <w:b/>
          <w:bCs/>
          <w:color w:val="1F4E78"/>
          <w:sz w:val="36"/>
          <w:szCs w:val="36"/>
        </w:rPr>
        <w:t>The chosen icon is the conventional 'external link' or 'open in new' glyph (a square with an arrow exiting from the top-right corner) that web users recognize as 'clicking this opens something elsewhere.' This convention works in the platform's local-file context because the action mirrors the external-link convention: clicking opens the underlying DOCX, XLSX, or HTML file in a separate application or browser tab. The hover translation reinforces the metaphor (the icon literally moves in the direction of its arrow). Title attributes were updated from 'Open X' to 'Click to open X' for consistency with the visual cue.</w:t>
      </w:r>
    </w:p>
    <w:p>
      <w:pPr>
        <w:spacing w:after="240" w:before="480"/>
      </w:pPr>
      <w:r>
        <w:rPr>
          <w:rFonts w:ascii="Arial" w:cs="Arial" w:eastAsia="Arial" w:hAnsi="Arial"/>
          <w:b/>
          <w:bCs/>
          <w:color w:val="1F4E78"/>
          <w:sz w:val="36"/>
          <w:szCs w:val="36"/>
        </w:rPr>
        <w:t>What v3.2.6 does NOT change</w:t>
      </w:r>
    </w:p>
    <w:p>
      <w:pPr>
        <w:spacing w:after="240" w:before="480"/>
      </w:pPr>
      <w:r>
        <w:rPr>
          <w:rFonts w:ascii="Arial" w:cs="Arial" w:eastAsia="Arial" w:hAnsi="Arial"/>
          <w:b/>
          <w:bCs/>
          <w:color w:val="1F4E78"/>
          <w:sz w:val="36"/>
          <w:szCs w:val="36"/>
        </w:rPr>
        <w:t>Section 47 unchanged at sixty-four Y / zero N out of sixty-four. The eight pillars unchanged. No analytical content modified. Audit infrastructure unchanged at eight layers and sixteen operations. Manifest count unchanged at ninety-four. TOC entries unchanged at ninety. The catalog data structure unchanged; only the platformVersion field bumped to reflect the iteration.</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No findings on first audit pass after the GUI changes. The iteration modified only files that fall outside the audit infrastructure's tracked file types (HTML, JS, JSON, MD), so the standard audit operations had no surface to flag. This is by design: GUI iterations should not generate audit findings because the audit operates on the analytical content (Word and Excel files) rather than on the navigation tooling. The GUI's own quality is verified through manual review and browser testing rather than through the audit infrastructure.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v3.2.6 used the four-phase cycle. Phase one audit was clean. Phase two added the open-file icon to grid cards, list rows, and quick links; updated the catalog version field to reflect the iteration; updated the README with the new feature documentation. Phase three verified clean audit state across all sixteen operations. Phase four documents the iteration here. v3.2.6 is the fifty-first consecutive clean current-iteration narrative produced under the abstracted-language auto-check discipline.</w:t>
      </w:r>
    </w:p>
    <w:p>
      <w:pPr>
        <w:spacing w:after="240" w:before="480"/>
      </w:pPr>
      <w:r>
        <w:rPr>
          <w:rFonts w:ascii="Arial" w:cs="Arial" w:eastAsia="Arial" w:hAnsi="Arial"/>
          <w:b/>
          <w:bCs/>
          <w:color w:val="1F4E78"/>
          <w:sz w:val="36"/>
          <w:szCs w:val="36"/>
        </w:rPr>
        <w:t>Future direction</w:t>
      </w:r>
    </w:p>
    <w:p>
      <w:pPr>
        <w:spacing w:after="240" w:before="480"/>
      </w:pPr>
      <w:r>
        <w:rPr>
          <w:rFonts w:ascii="Arial" w:cs="Arial" w:eastAsia="Arial" w:hAnsi="Arial"/>
          <w:b/>
          <w:bCs/>
          <w:color w:val="1F4E78"/>
          <w:sz w:val="36"/>
          <w:szCs w:val="36"/>
        </w:rPr>
        <w:t>v3.2.6 closes a small affordance gap in the GUI without addressing the larger pending directional items. The four-pillar scope expansion architecture decision (long-term care, climate, housing, immigration) and the 'what does done look like' decision document remain pending. Both are qualitatively different from v3.2.6 (which is GUI-level polish) and require strategic decisions rather than visual or operational refinement.</w:t>
      </w:r>
    </w:p>
    <w:p>
      <w:pPr>
        <w:pStyle w:val="Heading1"/>
      </w:pPr>
      <w:r>
        <w:t>Section 95: v3.2.7 Comprehensive Verification + Three Mitigations</w:t>
      </w:r>
    </w:p>
    <w:p>
      <w:pPr>
        <w:spacing w:after="240" w:before="480"/>
      </w:pPr>
      <w:r>
        <w:rPr>
          <w:rFonts w:ascii="Arial" w:cs="Arial" w:eastAsia="Arial" w:hAnsi="Arial"/>
          <w:b/>
          <w:bCs/>
          <w:color w:val="1F4E78"/>
          <w:sz w:val="36"/>
          <w:szCs w:val="36"/>
        </w:rPr>
        <w:t>v3.2.7 documents the results of a six-dimension verification pass conducted at v3.2.6 baseline, mitigates three real findings the verification surfaced, and creates a comprehensive verification report for the platform's record. The verification spanned dependencies, orphan detection, documentation completeness, loose-end scanning, claim defensibility, and calculator testing.</w:t>
      </w:r>
    </w:p>
    <w:p>
      <w:pPr>
        <w:spacing w:after="240" w:before="480"/>
      </w:pPr>
      <w:r>
        <w:rPr>
          <w:rFonts w:ascii="Arial" w:cs="Arial" w:eastAsia="Arial" w:hAnsi="Arial"/>
          <w:b/>
          <w:bCs/>
          <w:color w:val="1F4E78"/>
          <w:sz w:val="36"/>
          <w:szCs w:val="36"/>
        </w:rPr>
        <w:t>Verification scope</w:t>
      </w:r>
    </w:p>
    <w:p>
      <w:pPr>
        <w:spacing w:after="240" w:before="480"/>
      </w:pPr>
      <w:r>
        <w:rPr>
          <w:rFonts w:ascii="Arial" w:cs="Arial" w:eastAsia="Arial" w:hAnsi="Arial"/>
          <w:b/>
          <w:bCs/>
          <w:color w:val="1F4E78"/>
          <w:sz w:val="36"/>
          <w:szCs w:val="36"/>
        </w:rPr>
        <w:t>Six dimensions tested. Dimension one walked Section 47's sixty-four items confirming all have description and status text and checking external-engagement coverage for the twelve OPEN items. Dimension two scanned for manifest orphans, cross-reference orphans, placeholder markers, and empty-heading patterns. Dimension three verified version-reference consistency, pillar-count narrative correctness, and changelog completeness. Dimension four scanned for forward-looking incomplete-work markers and bracketed placeholder text. Dimension five computed an aggregate sourcing rate for numerical claims across analytical documents. Dimension six extracted calculator calculation functions and constants, re-implemented them in a test environment, and ran twenty-nine test cases.</w:t>
      </w:r>
    </w:p>
    <w:p>
      <w:pPr>
        <w:spacing w:after="240" w:before="480"/>
      </w:pPr>
      <w:r>
        <w:rPr>
          <w:rFonts w:ascii="Arial" w:cs="Arial" w:eastAsia="Arial" w:hAnsi="Arial"/>
          <w:b/>
          <w:bCs/>
          <w:color w:val="1F4E78"/>
          <w:sz w:val="36"/>
          <w:szCs w:val="36"/>
        </w:rPr>
        <w:t>Three real findings mitigated</w:t>
      </w:r>
    </w:p>
    <w:p>
      <w:pPr>
        <w:spacing w:after="240" w:before="480"/>
      </w:pPr>
      <w:r>
        <w:rPr>
          <w:rFonts w:ascii="Arial" w:cs="Arial" w:eastAsia="Arial" w:hAnsi="Arial"/>
          <w:b/>
          <w:bCs/>
          <w:color w:val="1F4E78"/>
          <w:sz w:val="36"/>
          <w:szCs w:val="36"/>
        </w:rPr>
        <w:t>First finding: the External Engagement Plan, drafted at v3.1.11, did not reference RESEARCH-8 because the latter was added at v3.2.1 after the Plan's drafting. A coverage-update section was added to the Plan in v3.2.7 specifying engagement target, reviewer profile, specific questions, time commitment, and reading path for RESEARCH-8 (Pillar Eight cost validation). Second finding: the Tribal Consultation Framework, drafted at v3.2.2, contained references describing the briefing document as 'not yet written' even though the briefing was created at v3.2.3. References were updated to point at the existing briefing document. Third finding: the master We The People Platform document contained bracketed placeholder text for contact email and website that had never been filled in. The placeholders were replaced with descriptive language indicating contact information is available on request.</w:t>
      </w:r>
    </w:p>
    <w:p>
      <w:pPr>
        <w:spacing w:after="240" w:before="480"/>
      </w:pPr>
      <w:r>
        <w:rPr>
          <w:rFonts w:ascii="Arial" w:cs="Arial" w:eastAsia="Arial" w:hAnsi="Arial"/>
          <w:b/>
          <w:bCs/>
          <w:color w:val="1F4E78"/>
          <w:sz w:val="36"/>
          <w:szCs w:val="36"/>
        </w:rPr>
        <w:t>Calculator verification details</w:t>
      </w:r>
    </w:p>
    <w:p>
      <w:pPr>
        <w:spacing w:after="240" w:before="480"/>
      </w:pPr>
      <w:r>
        <w:rPr>
          <w:rFonts w:ascii="Arial" w:cs="Arial" w:eastAsia="Arial" w:hAnsi="Arial"/>
          <w:b/>
          <w:bCs/>
          <w:color w:val="1F4E78"/>
          <w:sz w:val="36"/>
          <w:szCs w:val="36"/>
        </w:rPr>
        <w:t>The calculator was tested with twenty-nine cases spanning federal income tax brackets for all three filing statuses, platform federal income tax with occupation floor exemption, high-earner surcharge across three rate tiers and three filing statuses, wealth surcharge above ten million, wealth tax above fifty million, edge cases at threshold boundaries, very large and zero values, child tax credit floor behavior, and bracket-edge smoothness across all six federal bracket boundaries. All twenty-nine tests passed. The calculator's healthcare contribution rate displays four percent rather than the canonical six percent total; this was investigated and confirmed as intentional conservative methodology disclosure rather than a bug, with the calculator's assumptions panel explicitly stating that under standard tax-incidence theory the full six percent is borne by households and that the displayed four percent therefore conservatively understates the household economic burden.</w:t>
      </w:r>
    </w:p>
    <w:p>
      <w:pPr>
        <w:spacing w:after="240" w:before="480"/>
      </w:pPr>
      <w:r>
        <w:rPr>
          <w:rFonts w:ascii="Arial" w:cs="Arial" w:eastAsia="Arial" w:hAnsi="Arial"/>
          <w:b/>
          <w:bCs/>
          <w:color w:val="1F4E78"/>
          <w:sz w:val="36"/>
          <w:szCs w:val="36"/>
        </w:rPr>
        <w:t>Observations not requiring mitigation</w:t>
      </w:r>
    </w:p>
    <w:p>
      <w:pPr>
        <w:spacing w:after="240" w:before="480"/>
      </w:pPr>
      <w:r>
        <w:rPr>
          <w:rFonts w:ascii="Arial" w:cs="Arial" w:eastAsia="Arial" w:hAnsi="Arial"/>
          <w:b/>
          <w:bCs/>
          <w:color w:val="1F4E78"/>
          <w:sz w:val="36"/>
          <w:szCs w:val="36"/>
        </w:rPr>
        <w:t>Three OBS-level observations surfaced that are characteristics of the current platform state rather than defects. Thirty-six documents are referenced only in the Platform Package TOC and Platform Package Version document and not in narrative content elsewhere; this is acceptable because the documents are listed in the platform's catalog and discoverable through the GUI navigation interface. One hundred fourteen empty-heading patterns were found across multiple documents but inspection confirmed these are intentional document structure (Heading-2 labels with optional prose content) rather than incomplete sections. Approximately forty-one percent of numerical claims across analytical documents do not have explicit source-indicator language within two hundred fifty characters; inspection of samples shows most are derivational claims calculated from sourced inputs (e.g., '$145 billion equals $1,608 times 90 million filers') rather than separately-citable empirical claims. Full empirical defensibility validation requires credentialed external review and is the subject of RESEARCH-1 through RESEARCH-8 plus PERSONA-SIG items in Section 47.</w:t>
      </w:r>
    </w:p>
    <w:p>
      <w:pPr>
        <w:spacing w:after="240" w:before="480"/>
      </w:pPr>
      <w:r>
        <w:rPr>
          <w:rFonts w:ascii="Arial" w:cs="Arial" w:eastAsia="Arial" w:hAnsi="Arial"/>
          <w:b/>
          <w:bCs/>
          <w:color w:val="1F4E78"/>
          <w:sz w:val="36"/>
          <w:szCs w:val="36"/>
        </w:rPr>
        <w:t>New deliverable</w:t>
      </w:r>
    </w:p>
    <w:p>
      <w:pPr>
        <w:spacing w:after="240" w:before="480"/>
      </w:pPr>
      <w:r>
        <w:rPr>
          <w:rFonts w:ascii="Arial" w:cs="Arial" w:eastAsia="Arial" w:hAnsi="Arial"/>
          <w:b/>
          <w:bCs/>
          <w:color w:val="1F4E78"/>
          <w:sz w:val="36"/>
          <w:szCs w:val="36"/>
        </w:rPr>
        <w:t>v3.2.7 creates a Comprehensive Verification Report document (05_Comprehensive_Verification_Report.docx, thirty-three paragraphs) recording verification methodology, results across all six dimensions, the three findings mitigated, the OBS-level observations not requiring mitigation, and explicit limitations of mechanical verification. The report serves as a checkpoint document for the platform's record; future verification passes can reference it to track which characteristics persist over time.</w:t>
      </w:r>
    </w:p>
    <w:p>
      <w:pPr>
        <w:spacing w:after="240" w:before="480"/>
      </w:pPr>
      <w:r>
        <w:rPr>
          <w:rFonts w:ascii="Arial" w:cs="Arial" w:eastAsia="Arial" w:hAnsi="Arial"/>
          <w:b/>
          <w:bCs/>
          <w:color w:val="1F4E78"/>
          <w:sz w:val="36"/>
          <w:szCs w:val="36"/>
        </w:rPr>
        <w:t>What v3.2.7 does NOT change</w:t>
      </w:r>
    </w:p>
    <w:p>
      <w:pPr>
        <w:spacing w:after="240" w:before="480"/>
      </w:pPr>
      <w:r>
        <w:rPr>
          <w:rFonts w:ascii="Arial" w:cs="Arial" w:eastAsia="Arial" w:hAnsi="Arial"/>
          <w:b/>
          <w:bCs/>
          <w:color w:val="1F4E78"/>
          <w:sz w:val="36"/>
          <w:szCs w:val="36"/>
        </w:rPr>
        <w:t>Section 47 unchanged at sixty-four Y / zero N out of sixty-four. The eight pillars unchanged in architecture, contribution rates, and benefit specifications. Calculator unchanged (verified clean, no changes needed). Audit infrastructure unchanged at eight layers and sixteen operations. The three mitigations updated existing documents (External Engagement Plan, Tribal Consultation Framework, master We The People Platform doc) without changing their structural roles. The new verification report is purely additive content.</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Two findings on first audit pass after document creation: manifest orphan and TOC coverage findings for the new verification report; both expected and resolved in standard manifest-and-TOC update sequence. No substantive Standing Rule 1 catches in this iteration.</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v3.2.7 is the fifty-second consecutive clean current-iteration narrative produced under the abstracted-language auto-check discipline. The four-phase cycle proceeded normally: Phase 1 audit was clean baseline at v3.2.6; Phase 2 conducted the verification, mitigated three findings, and created the report document; Phase 3 verified clean state across all sixteen audit operations; Phase 4 documents the iteration here.</w:t>
      </w:r>
    </w:p>
    <w:p>
      <w:pPr>
        <w:pStyle w:val="Heading1"/>
      </w:pPr>
      <w:r>
        <w:t>Section 96: v3.2.8 Sources and Derivation Convention</w:t>
      </w:r>
    </w:p>
    <w:p>
      <w:pPr>
        <w:spacing w:after="240" w:before="480"/>
      </w:pPr>
      <w:r>
        <w:rPr>
          <w:rFonts w:ascii="Arial" w:cs="Arial" w:eastAsia="Arial" w:hAnsi="Arial"/>
          <w:b/>
          <w:bCs/>
          <w:color w:val="1F4E78"/>
          <w:sz w:val="36"/>
          <w:szCs w:val="36"/>
        </w:rPr>
        <w:t>v3.2.8 mitigates the Comprehensive Verification Report's Dimension 5 finding (claim defensibility through explicit sourcing) by creating a canonical sources catalog and distributing source-baseline references throughout the platform's analytical documents. The verification at v3.2.7 had measured an aggregate sourcing rate of approximately fifty-nine percent (numerical claims with source-indicator language within two hundred fifty characters); v3.2.8 raises that rate to approximately seventy-three percent and establishes a documented convention readers can use to trace any platform claim to its underlying empirical source.</w:t>
      </w:r>
    </w:p>
    <w:p>
      <w:pPr>
        <w:spacing w:after="240" w:before="480"/>
      </w:pPr>
      <w:r>
        <w:rPr>
          <w:rFonts w:ascii="Arial" w:cs="Arial" w:eastAsia="Arial" w:hAnsi="Arial"/>
          <w:b/>
          <w:bCs/>
          <w:color w:val="1F4E78"/>
          <w:sz w:val="36"/>
          <w:szCs w:val="36"/>
        </w:rPr>
        <w:t>Approach</w:t>
      </w:r>
    </w:p>
    <w:p>
      <w:pPr>
        <w:spacing w:after="240" w:before="480"/>
      </w:pPr>
      <w:r>
        <w:rPr>
          <w:rFonts w:ascii="Arial" w:cs="Arial" w:eastAsia="Arial" w:hAnsi="Arial"/>
          <w:b/>
          <w:bCs/>
          <w:color w:val="1F4E78"/>
          <w:sz w:val="36"/>
          <w:szCs w:val="36"/>
        </w:rPr>
        <w:t>The mitigation has three components. First, a new canonical document (05_Sources_And_Derivation_Convention.docx) catalogs the platform's empirical sources organized by domain (federal tax and income; healthcare; demographic and population; sovereign fund and investment; infrastructure and civic; family and care; internal platform documents as source). Each entry identifies the source and lists which platform documents draw from it. Second, fifteen high-claim-density analytical documents received a Sources Baseline section near their top that explicitly identifies the canonical sources for that document's claims. Third, ninety-three paragraphs and fifty-seven table cells across these documents received distributed source-reference markers anchoring numerical claims to the Sources Baseline.</w:t>
      </w:r>
    </w:p>
    <w:p>
      <w:pPr>
        <w:spacing w:after="240" w:before="480"/>
      </w:pPr>
      <w:r>
        <w:rPr>
          <w:rFonts w:ascii="Arial" w:cs="Arial" w:eastAsia="Arial" w:hAnsi="Arial"/>
          <w:b/>
          <w:bCs/>
          <w:color w:val="1F4E78"/>
          <w:sz w:val="36"/>
          <w:szCs w:val="36"/>
        </w:rPr>
        <w:t>Sourcing convention</w:t>
      </w:r>
    </w:p>
    <w:p>
      <w:pPr>
        <w:spacing w:after="240" w:before="480"/>
      </w:pPr>
      <w:r>
        <w:rPr>
          <w:rFonts w:ascii="Arial" w:cs="Arial" w:eastAsia="Arial" w:hAnsi="Arial"/>
          <w:b/>
          <w:bCs/>
          <w:color w:val="1F4E78"/>
          <w:sz w:val="36"/>
          <w:szCs w:val="36"/>
        </w:rPr>
        <w:t>The platform's sourcing convention is now explicit: numerical claims are either directly cited to a primary source at the point of use, derived through explicit calculation from inputs cited elsewhere in the same document, or inherited from canonical sources cataloged in the new convention document. Derivational claims of the form 'X equals Y times Z' inherit their sourcing from the inputs to the calculation; the calculation itself is the source. Readers can verify any platform claim through one of these three paths.</w:t>
      </w:r>
    </w:p>
    <w:p>
      <w:pPr>
        <w:spacing w:after="240" w:before="480"/>
      </w:pPr>
      <w:r>
        <w:rPr>
          <w:rFonts w:ascii="Arial" w:cs="Arial" w:eastAsia="Arial" w:hAnsi="Arial"/>
          <w:b/>
          <w:bCs/>
          <w:color w:val="1F4E78"/>
          <w:sz w:val="36"/>
          <w:szCs w:val="36"/>
        </w:rPr>
        <w:t>Sourcing rate measurement</w:t>
      </w:r>
    </w:p>
    <w:p>
      <w:pPr>
        <w:spacing w:after="240" w:before="480"/>
      </w:pPr>
      <w:r>
        <w:rPr>
          <w:rFonts w:ascii="Arial" w:cs="Arial" w:eastAsia="Arial" w:hAnsi="Arial"/>
          <w:b/>
          <w:bCs/>
          <w:color w:val="1F4E78"/>
          <w:sz w:val="36"/>
          <w:szCs w:val="36"/>
        </w:rPr>
        <w:t>The mechanical sourcing-rate metric (claims with source-indicator language within two hundred fifty characters) improved from approximately fifty-nine percent at the start of this iteration to approximately seventy-three percent at the end, an improvement of approximately fourteen percentage points. The remaining approximately twenty-seven percent of claims that the metric still flags are predominantly self-evident inline derivations of the form 'X equals Y times Z' where the math is shown immediately alongside the claim, plus short list items where claim density is high relative to surrounding prose. Inspection confirmed these remaining cases are not defects requiring further annotation; they are derivational expressions from sourced inputs.</w:t>
      </w:r>
    </w:p>
    <w:p>
      <w:pPr>
        <w:spacing w:after="240" w:before="480"/>
      </w:pPr>
      <w:r>
        <w:rPr>
          <w:rFonts w:ascii="Arial" w:cs="Arial" w:eastAsia="Arial" w:hAnsi="Arial"/>
          <w:b/>
          <w:bCs/>
          <w:color w:val="1F4E78"/>
          <w:sz w:val="36"/>
          <w:szCs w:val="36"/>
        </w:rPr>
        <w:t>Limits</w:t>
      </w:r>
    </w:p>
    <w:p>
      <w:pPr>
        <w:spacing w:after="240" w:before="480"/>
      </w:pPr>
      <w:r>
        <w:rPr>
          <w:rFonts w:ascii="Arial" w:cs="Arial" w:eastAsia="Arial" w:hAnsi="Arial"/>
          <w:b/>
          <w:bCs/>
          <w:color w:val="1F4E78"/>
          <w:sz w:val="36"/>
          <w:szCs w:val="36"/>
        </w:rPr>
        <w:t>This iteration establishes a sourcing convention and increases the traceability of platform claims to underlying sources. It does not by itself validate the empirical defensibility of those sources or the calculations derived from them. Full empirical defensibility validation requires credentialed external review of the kind tracked in Open Issues Registry RESEARCH-1 through RESEARCH-8 plus PERSONA-SIG-3 through 5. The External Engagement Plan documents the engagement targets and reviewer profiles for that review. Until that review is conducted, claims in the platform should be read with the understanding that they reflect rigorous internal analysis from cataloged sources but have not been validated by credentialed third-party review. The new Sources and Derivation Convention document makes this limit explicit in its Acknowledged Limits section.</w:t>
      </w:r>
    </w:p>
    <w:p>
      <w:pPr>
        <w:spacing w:after="240" w:before="480"/>
      </w:pPr>
      <w:r>
        <w:rPr>
          <w:rFonts w:ascii="Arial" w:cs="Arial" w:eastAsia="Arial" w:hAnsi="Arial"/>
          <w:b/>
          <w:bCs/>
          <w:color w:val="1F4E78"/>
          <w:sz w:val="36"/>
          <w:szCs w:val="36"/>
        </w:rPr>
        <w:t>Files modified</w:t>
      </w:r>
    </w:p>
    <w:p>
      <w:pPr>
        <w:spacing w:after="240" w:before="480"/>
      </w:pPr>
      <w:r>
        <w:rPr>
          <w:rFonts w:ascii="Arial" w:cs="Arial" w:eastAsia="Arial" w:hAnsi="Arial"/>
          <w:b/>
          <w:bCs/>
          <w:color w:val="1F4E78"/>
          <w:sz w:val="36"/>
          <w:szCs w:val="36"/>
        </w:rPr>
        <w:t>New file: 05_Sources_And_Derivation_Convention.docx (thirty-nine paragraphs, version one point zero). Sources Baseline sections added to: master We The People Platform document; Federal Fiscal Impact Analysis; Federal Income Tax Revenue Modified Architecture; Healthcare Transition Detailed Plan; Community Contribution Plan white paper; Free Universal Broadband Cost Analysis; Identity Theft Reduction; Modernize Civic Engagement Integrated Argument; Gender Pay Gap and Indirect Mechanisms; Behavioral Economics and Uptake Friction; Aging In Place Implications; Wage Floors As Tax Architecture; Per Citizen Benefits and Costs; Physical Civic Infrastructure Substantiation; What This Means For You; Sovereign Fund Governance Design; Section 8 Housing and Federal Housing Assistance. Distributed source markers added to ninety-three paragraphs and fifty-seven table cells across these documents.</w:t>
      </w:r>
    </w:p>
    <w:p>
      <w:pPr>
        <w:spacing w:after="240" w:before="480"/>
      </w:pPr>
      <w:r>
        <w:rPr>
          <w:rFonts w:ascii="Arial" w:cs="Arial" w:eastAsia="Arial" w:hAnsi="Arial"/>
          <w:b/>
          <w:bCs/>
          <w:color w:val="1F4E78"/>
          <w:sz w:val="36"/>
          <w:szCs w:val="36"/>
        </w:rPr>
        <w:t>What v3.2.8 does NOT change</w:t>
      </w:r>
    </w:p>
    <w:p>
      <w:pPr>
        <w:spacing w:after="240" w:before="480"/>
      </w:pPr>
      <w:r>
        <w:rPr>
          <w:rFonts w:ascii="Arial" w:cs="Arial" w:eastAsia="Arial" w:hAnsi="Arial"/>
          <w:b/>
          <w:bCs/>
          <w:color w:val="1F4E78"/>
          <w:sz w:val="36"/>
          <w:szCs w:val="36"/>
        </w:rPr>
        <w:t>Section 47 unchanged at sixty-four Y / zero N out of sixty-four. The eight pillars unchanged. Calculator unchanged. Audit infrastructure unchanged at eight layers and sixteen operations. The platform's analytical content (substantive claims, contribution rates, projections) is unchanged; only the sourcing annotations around that content are added. The verification report from v3.2.7 remains accurate as a record of the verification pass; this iteration responds to that report's Dimension 5 finding.</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One catch on first audit pass after document creation: the new convention document triggered a manifest orphan finding; resolved in standard manifest update sequence. The PV doc count claim (codified as audit operation in v3.2.4) caught the new document addition: the prior count of ninety documents and models bumped to ninety-one with the convention document added; the claim was updated to match. Both findings were expected and resolved.</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v3.2.8 is the fifty-third consecutive clean current-iteration narrative produced under the abstracted-language auto-check discipline. The four-phase cycle proceeded normally: Phase 1 audit was clean baseline at v3.2.7; Phase 2 created the convention document and distributed sourcing annotations; Phase 3 verified clean state across all sixteen audit operations; Phase 4 documents the iteration here.</w:t>
      </w:r>
    </w:p>
    <w:p>
      <w:pPr>
        <w:pStyle w:val="Heading1"/>
      </w:pPr>
      <w:r>
        <w:t>Section 97: v3.2.9 What Done Looks Like Decision Framework</w:t>
      </w:r>
    </w:p>
    <w:p>
      <w:pPr>
        <w:spacing w:after="240" w:before="480"/>
      </w:pPr>
      <w:r>
        <w:rPr>
          <w:rFonts w:ascii="Arial" w:cs="Arial" w:eastAsia="Arial" w:hAnsi="Arial"/>
          <w:b/>
          <w:bCs/>
          <w:color w:val="1F4E78"/>
          <w:sz w:val="36"/>
          <w:szCs w:val="36"/>
        </w:rPr>
        <w:t>v3.2.9 closes the long-deferred Tier 1 number one actionable item (the 'what does done look like' decision document) by creating a decision framework that defines explicit endpoint criteria for the platform across three readiness milestones. The item was first identified during the v3.2.1 era as Tier 5 number twenty-three on the original actionable items list and was reclassified to Tier 1 number one on the refreshed list following completion of the higher-priority Tier 2 and Tier 3 items in v3.2.2 and v3.2.3. The decision framework was deferred while the platform completed its internal hardening cycle and the Comprehensive Verification Report and Sources and Derivation Convention deliverables. v3.2.9 produces the framework.</w:t>
      </w:r>
    </w:p>
    <w:p>
      <w:pPr>
        <w:spacing w:after="240" w:before="480"/>
      </w:pPr>
      <w:r>
        <w:rPr>
          <w:rFonts w:ascii="Arial" w:cs="Arial" w:eastAsia="Arial" w:hAnsi="Arial"/>
          <w:b/>
          <w:bCs/>
          <w:color w:val="1F4E78"/>
          <w:sz w:val="36"/>
          <w:szCs w:val="36"/>
        </w:rPr>
        <w:t>Approach</w:t>
      </w:r>
    </w:p>
    <w:p>
      <w:pPr>
        <w:spacing w:after="240" w:before="480"/>
      </w:pPr>
      <w:r>
        <w:rPr>
          <w:rFonts w:ascii="Arial" w:cs="Arial" w:eastAsia="Arial" w:hAnsi="Arial"/>
          <w:b/>
          <w:bCs/>
          <w:color w:val="1F4E78"/>
          <w:sz w:val="36"/>
          <w:szCs w:val="36"/>
        </w:rPr>
        <w:t>The decision framework rests on three constraint declarations from the lead author. First: the platform optimizes for Tier One (citable reference work) and Tier Two (institutional infrastructure); Tier Three (trade book publication; congressional component sponsorship) and Tier Four (federal legislation; multi-year campaign) are deferred as future-decision territory. Second: the lead author commits time and money to advance through Tier One and Tier Two milestones; specific budgets are placeholder rather than declared and are filled in separately. Third: the lead author remains sole author of the platform for now; the constraint may relax in future iterations of the framework. Given these constraints, the framework derives criteria for three milestones.</w:t>
      </w:r>
    </w:p>
    <w:p>
      <w:pPr>
        <w:spacing w:after="240" w:before="480"/>
      </w:pPr>
      <w:r>
        <w:rPr>
          <w:rFonts w:ascii="Arial" w:cs="Arial" w:eastAsia="Arial" w:hAnsi="Arial"/>
          <w:b/>
          <w:bCs/>
          <w:color w:val="1F4E78"/>
          <w:sz w:val="36"/>
          <w:szCs w:val="36"/>
        </w:rPr>
        <w:t>Three milestones</w:t>
      </w:r>
    </w:p>
    <w:p>
      <w:pPr>
        <w:spacing w:after="240" w:before="480"/>
      </w:pPr>
      <w:r>
        <w:rPr>
          <w:rFonts w:ascii="Arial" w:cs="Arial" w:eastAsia="Arial" w:hAnsi="Arial"/>
          <w:b/>
          <w:bCs/>
          <w:color w:val="1F4E78"/>
          <w:sz w:val="36"/>
          <w:szCs w:val="36"/>
        </w:rPr>
        <w:t>Milestone A is ready for academic review. Criteria require that every Open Issues Registry RESEARCH item plus PERSONA-SIG specialist items has at least one credentialed engagement initiated; that PROCESS-3 audit engagement is active; that lead-author non-credentialing transparency is maintained explicitly; that engagement materials are production-ready; that a commissioned-review form of the Combined Reform Model exists; and that the master document has been read by trusted readers for accessibility. Milestone A does NOT require completed peer review, completed audit, completed constitutional review, affiliated institution, or co-authorship. Milestone B is ready to publish, split into three sub-meanings: B1 self-publication as searchable reference work (in scope); B2 trade press book publication (deferred under current constraints); B3 long-form magazine article placement (in scope). Milestone C is ready for legislative engagement, split into five sub-meanings: C1 citable reference work (in scope; satisfied with B1); C2 component-level adoption readiness (in scope; substantially complete); C3 advocacy organization adoption (in scope); C4 bill text drafting (deferred); C5 public-facing legislative campaign (deferred).</w:t>
      </w:r>
    </w:p>
    <w:p>
      <w:pPr>
        <w:spacing w:after="240" w:before="480"/>
      </w:pPr>
      <w:r>
        <w:rPr>
          <w:rFonts w:ascii="Arial" w:cs="Arial" w:eastAsia="Arial" w:hAnsi="Arial"/>
          <w:b/>
          <w:bCs/>
          <w:color w:val="1F4E78"/>
          <w:sz w:val="36"/>
          <w:szCs w:val="36"/>
        </w:rPr>
        <w:t>Inventory of progress per milestone</w:t>
      </w:r>
    </w:p>
    <w:p>
      <w:pPr>
        <w:spacing w:after="240" w:before="480"/>
      </w:pPr>
      <w:r>
        <w:rPr>
          <w:rFonts w:ascii="Arial" w:cs="Arial" w:eastAsia="Arial" w:hAnsi="Arial"/>
          <w:b/>
          <w:bCs/>
          <w:color w:val="1F4E78"/>
          <w:sz w:val="36"/>
          <w:szCs w:val="36"/>
        </w:rPr>
        <w:t>The decision framework includes an explicit inventory of what is already done versus what remains for each in-scope milestone. Milestone A is substantially complete on internal preparation; what remains is initiating the engagements (sending letters; commissioning the audit; conducting the trusted-reader review pass; producing the commissioned-review form of the Combined Reform Model). Milestone B1 is partial; the package exists in clean shippable form and the GUI navigator exists, but domain registration, hosting setup, archival deposit, citation metadata, lead-author bio page, license declaration, and contact mechanism remain. Milestone B3 is minimal; outlet identification, pitch drafting, and editor relationships have not begun. Milestone C1 is satisfied at the same time as B1. Milestone C2 is substantially complete; brief 'borrow independently' notes for each pillar remain. Milestone C3 is minimal; advocacy organization outreach has not begun.</w:t>
      </w:r>
    </w:p>
    <w:p>
      <w:pPr>
        <w:spacing w:after="240" w:before="480"/>
      </w:pPr>
      <w:r>
        <w:rPr>
          <w:rFonts w:ascii="Arial" w:cs="Arial" w:eastAsia="Arial" w:hAnsi="Arial"/>
          <w:b/>
          <w:bCs/>
          <w:color w:val="1F4E78"/>
          <w:sz w:val="36"/>
          <w:szCs w:val="36"/>
        </w:rPr>
        <w:t>Recommended sequence</w:t>
      </w:r>
    </w:p>
    <w:p>
      <w:pPr>
        <w:spacing w:after="240" w:before="480"/>
      </w:pPr>
      <w:r>
        <w:rPr>
          <w:rFonts w:ascii="Arial" w:cs="Arial" w:eastAsia="Arial" w:hAnsi="Arial"/>
          <w:b/>
          <w:bCs/>
          <w:color w:val="1F4E78"/>
          <w:sz w:val="36"/>
          <w:szCs w:val="36"/>
        </w:rPr>
        <w:t>The framework recommends six sequence steps. Step one: complete internal Milestone A preparation that does not require external engagement (borrow-independently notes; trusted-reader review; commissioned-review Combined Reform Model methodology). Step two: execute Milestone A engagement (send academic outreach letters; issue audit RFP; initiate tribal consultation). Step three: execute Milestone B1 publication (domain; hosting; archival deposit; citation metadata; bio; license). Step four: respond to early engagement feedback through normal iteration cycles. Step five: assess Milestone C3 readiness based on what came back from steps two and three. Step six: revisit this decision document after Milestone A engagement is initiated but before Milestone C3 outreach is initiated.</w:t>
      </w:r>
    </w:p>
    <w:p>
      <w:pPr>
        <w:spacing w:after="240" w:before="480"/>
      </w:pPr>
      <w:r>
        <w:rPr>
          <w:rFonts w:ascii="Arial" w:cs="Arial" w:eastAsia="Arial" w:hAnsi="Arial"/>
          <w:b/>
          <w:bCs/>
          <w:color w:val="1F4E78"/>
          <w:sz w:val="36"/>
          <w:szCs w:val="36"/>
        </w:rPr>
        <w:t>Acknowledged limits</w:t>
      </w:r>
    </w:p>
    <w:p>
      <w:pPr>
        <w:spacing w:after="240" w:before="480"/>
      </w:pPr>
      <w:r>
        <w:rPr>
          <w:rFonts w:ascii="Arial" w:cs="Arial" w:eastAsia="Arial" w:hAnsi="Arial"/>
          <w:b/>
          <w:bCs/>
          <w:color w:val="1F4E78"/>
          <w:sz w:val="36"/>
          <w:szCs w:val="36"/>
        </w:rPr>
        <w:t>The framework acknowledges three limits. First: this is the lead author's first attempt at endpoint criteria; external engagement will likely reveal that some criteria are over-specified and others are under-specified. Second: the constraint declarations may relax over time, in which case future iterations should re-examine the framework. Third: the framework does not validate the platform's empirical defensibility; if the platform's substantive content is found wanting through external engagement, the issue is the content, not the framework. The Sources and Derivation Convention from v3.2.8 and the Open Issues Registry's RESEARCH and PERSONA-SIG tracking are the platform's honest acknowledgment that substantive validation is itself an open question.</w:t>
      </w:r>
    </w:p>
    <w:p>
      <w:pPr>
        <w:spacing w:after="240" w:before="480"/>
      </w:pPr>
      <w:r>
        <w:rPr>
          <w:rFonts w:ascii="Arial" w:cs="Arial" w:eastAsia="Arial" w:hAnsi="Arial"/>
          <w:b/>
          <w:bCs/>
          <w:color w:val="1F4E78"/>
          <w:sz w:val="36"/>
          <w:szCs w:val="36"/>
        </w:rPr>
        <w:t>What v3.2.9 does NOT change</w:t>
      </w:r>
    </w:p>
    <w:p>
      <w:pPr>
        <w:spacing w:after="240" w:before="480"/>
      </w:pPr>
      <w:r>
        <w:rPr>
          <w:rFonts w:ascii="Arial" w:cs="Arial" w:eastAsia="Arial" w:hAnsi="Arial"/>
          <w:b/>
          <w:bCs/>
          <w:color w:val="1F4E78"/>
          <w:sz w:val="36"/>
          <w:szCs w:val="36"/>
        </w:rPr>
        <w:t>Section 47 unchanged at sixty-four Y / zero N out of sixty-four. The eight pillars unchanged. Calculator unchanged. Audit infrastructure unchanged at eight layers and sixteen operations. The platform's substantive analytical content (claims, contribution rates, projections, mechanisms) is unchanged. v3.2.9 is purely additive: a new decision-framework document. The Tier 1 number one actionable item is closed by this document's existence, with the understanding that the document treats itself as a starting point rather than a final answer.</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document; TOC coverage needed for the new document; PV doc count claim needs to bump from ninety-one to ninety-two. All three are routine and expected; resolved in standard manifest-and-TOC update sequence.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v3.2.9 is the fifty-fourth consecutive clean current-iteration narrative produced under the abstracted-language auto-check discipline. The four-phase cycle proceeded normally: Phase 1 audit was clean baseline at v3.2.8; Phase 2 created the decision framework document; Phase 3 verified clean state across all sixteen audit operations including the PV count claim consistency check; Phase 4 documents the iteration here.</w:t>
      </w:r>
    </w:p>
    <w:p>
      <w:pPr>
        <w:pStyle w:val="Heading1"/>
      </w:pPr>
      <w:r>
        <w:t>Section 98: v3.2.10 Pillars Borrow Independently</w:t>
      </w:r>
    </w:p>
    <w:p>
      <w:pPr>
        <w:spacing w:after="240" w:before="480"/>
      </w:pPr>
      <w:r>
        <w:rPr>
          <w:rFonts w:ascii="Arial" w:cs="Arial" w:eastAsia="Arial" w:hAnsi="Arial"/>
          <w:b/>
          <w:bCs/>
          <w:color w:val="1F4E78"/>
          <w:sz w:val="36"/>
          <w:szCs w:val="36"/>
        </w:rPr>
        <w:t>v3.2.10 closes the Milestone C2 final gap identified in the v3.2.9 What Done Looks Like decision framework by creating a component-level adoption guide for each of the eight platform pillars. The Milestone C2 criterion specified that each pillar should have a brief 'how to borrow this independently' note explaining which other platform elements the pillar depends on and which it does not. The new deliverable consolidates these notes into a single document covering all eight pillars.</w:t>
      </w:r>
    </w:p>
    <w:p>
      <w:pPr>
        <w:spacing w:after="240" w:before="480"/>
      </w:pPr>
      <w:r>
        <w:rPr>
          <w:rFonts w:ascii="Arial" w:cs="Arial" w:eastAsia="Arial" w:hAnsi="Arial"/>
          <w:b/>
          <w:bCs/>
          <w:color w:val="1F4E78"/>
          <w:sz w:val="36"/>
          <w:szCs w:val="36"/>
        </w:rPr>
        <w:t>Approach</w:t>
      </w:r>
    </w:p>
    <w:p>
      <w:pPr>
        <w:spacing w:after="240" w:before="480"/>
      </w:pPr>
      <w:r>
        <w:rPr>
          <w:rFonts w:ascii="Arial" w:cs="Arial" w:eastAsia="Arial" w:hAnsi="Arial"/>
          <w:b/>
          <w:bCs/>
          <w:color w:val="1F4E78"/>
          <w:sz w:val="36"/>
          <w:szCs w:val="36"/>
        </w:rPr>
        <w:t>Rather than add notes to each of the eight pillar substantiation documents separately, the consolidated approach produces a single document that advocacy organizations and other policy practitioners can use as a single entry point to platform components. Each pillar's section follows the same structure: what the pillar provides; dependencies on other platform elements (hard versus soft); what the pillar does NOT require; adoption considerations a borrowing organization would need to handle; natural advocacy ecosystem with specific aligned organizations identified. The natural-ecosystem sections are most useful for the lead author's planned Milestone C3 outreach work.</w:t>
      </w:r>
    </w:p>
    <w:p>
      <w:pPr>
        <w:spacing w:after="240" w:before="480"/>
      </w:pPr>
      <w:r>
        <w:rPr>
          <w:rFonts w:ascii="Arial" w:cs="Arial" w:eastAsia="Arial" w:hAnsi="Arial"/>
          <w:b/>
          <w:bCs/>
          <w:color w:val="1F4E78"/>
          <w:sz w:val="36"/>
          <w:szCs w:val="36"/>
        </w:rPr>
        <w:t>Per-pillar dependency landscape</w:t>
      </w:r>
    </w:p>
    <w:p>
      <w:pPr>
        <w:spacing w:after="240" w:before="480"/>
      </w:pPr>
      <w:r>
        <w:rPr>
          <w:rFonts w:ascii="Arial" w:cs="Arial" w:eastAsia="Arial" w:hAnsi="Arial"/>
          <w:b/>
          <w:bCs/>
          <w:color w:val="1F4E78"/>
          <w:sz w:val="36"/>
          <w:szCs w:val="36"/>
        </w:rPr>
        <w:t>The dependency analysis reveals which pillars are most independently adoptable. Most modular: Pillar Two (Empirical Wage Floors) depends structurally only on the high-earner architecture for revenue replacement and can otherwise be adopted as standalone tax reform; Pillar Five (Universal Childcare) and Pillar Eight (Universal Paid Family Time) have no hard dependencies on other pillars; Pillar Six (Universal Mental Health) similarly has no hard dependencies. Less modular: Pillar One (Community Contribution Plan) has hard dependency on the high-earner architecture and benefits substantially from interaction with other pillars; Pillar Seven (Civic Infrastructure) has hard dependency on the Federal Infrastructure Fee mechanism. Pillar Three (Sovereign Education Fund) and Pillar Four (Universal Healthcare Access) sit in the middle: they have soft dependencies but can stand alone with appropriate adjustments.</w:t>
      </w:r>
    </w:p>
    <w:p>
      <w:pPr>
        <w:spacing w:after="240" w:before="480"/>
      </w:pPr>
      <w:r>
        <w:rPr>
          <w:rFonts w:ascii="Arial" w:cs="Arial" w:eastAsia="Arial" w:hAnsi="Arial"/>
          <w:b/>
          <w:bCs/>
          <w:color w:val="1F4E78"/>
          <w:sz w:val="36"/>
          <w:szCs w:val="36"/>
        </w:rPr>
        <w:t>Per-pillar advocacy ecosystem identification</w:t>
      </w:r>
    </w:p>
    <w:p>
      <w:pPr>
        <w:spacing w:after="240" w:before="480"/>
      </w:pPr>
      <w:r>
        <w:rPr>
          <w:rFonts w:ascii="Arial" w:cs="Arial" w:eastAsia="Arial" w:hAnsi="Arial"/>
          <w:b/>
          <w:bCs/>
          <w:color w:val="1F4E78"/>
          <w:sz w:val="36"/>
          <w:szCs w:val="36"/>
        </w:rPr>
        <w:t>The natural-ecosystem sections identify aligned organizations for each pillar, including progressive-aligned organizations (Center for American Progress, Roosevelt Institute, etc.), pillar-specific advocacy organizations (NAMI for Pillar Six; NWLC for Pillar Five; etc.), and where applicable, center-right alternative-framing organizations (Niskanen Center, AEI program areas). The ecosystem identification is intended to support Milestone C3 outreach planning but does not constitute outreach itself; actual customized outreach to specific organizations remains a separate Milestone C3 execution step.</w:t>
      </w:r>
    </w:p>
    <w:p>
      <w:pPr>
        <w:spacing w:after="240" w:before="480"/>
      </w:pPr>
      <w:r>
        <w:rPr>
          <w:rFonts w:ascii="Arial" w:cs="Arial" w:eastAsia="Arial" w:hAnsi="Arial"/>
          <w:b/>
          <w:bCs/>
          <w:color w:val="1F4E78"/>
          <w:sz w:val="36"/>
          <w:szCs w:val="36"/>
        </w:rPr>
        <w:t>What v3.2.10 does NOT change</w:t>
      </w:r>
    </w:p>
    <w:p>
      <w:pPr>
        <w:spacing w:after="240" w:before="480"/>
      </w:pPr>
      <w:r>
        <w:rPr>
          <w:rFonts w:ascii="Arial" w:cs="Arial" w:eastAsia="Arial" w:hAnsi="Arial"/>
          <w:b/>
          <w:bCs/>
          <w:color w:val="1F4E78"/>
          <w:sz w:val="36"/>
          <w:szCs w:val="36"/>
        </w:rPr>
        <w:t>Section 47 unchanged at sixty-four Y / zero N out of sixty-four. The eight pillars themselves are unchanged in architecture, contribution rates, benefit specifications, or substantiation. Calculator unchanged. Audit infrastructure unchanged at eight layers and sixteen operations. The decision framework from v3.2.9 is unchanged. v3.2.10 is purely additive: a new component-adoption-guide document that closes the Milestone C2 final gap. Milestone C2 is now substantively complete.</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document; TOC coverage needed for the new document; PV doc count claim needs to bump from ninety-two to ninety-three. All three are routine and expected; resolved in standard manifest-and-TOC update sequence.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v3.2.10 is the fifty-fifth consecutive clean current-iteration narrative produced under the abstracted-language auto-check discipline. The four-phase cycle proceeded normally: Phase 1 audit was clean baseline at v3.2.9; Phase 2 created the component-adoption guide; Phase 3 verified clean state across all sixteen audit operations; Phase 4 documents the iteration here.</w:t>
      </w:r>
    </w:p>
    <w:p>
      <w:pPr>
        <w:pStyle w:val="Heading1"/>
      </w:pPr>
      <w:r>
        <w:t>Section 99: v3.3.0 Pillar Nine Added — Universal Long-Term Care</w:t>
      </w:r>
    </w:p>
    <w:p>
      <w:pPr>
        <w:spacing w:after="240" w:before="480"/>
      </w:pPr>
      <w:r>
        <w:rPr>
          <w:rFonts w:ascii="Arial" w:cs="Arial" w:eastAsia="Arial" w:hAnsi="Arial"/>
          <w:b/>
          <w:bCs/>
          <w:color w:val="1F4E78"/>
          <w:sz w:val="36"/>
          <w:szCs w:val="36"/>
        </w:rPr>
        <w:t>v3.3.0 is the first minor version bump in the v3.3 series, adding Pillar Nine (Universal Long-Term Care) as the platform's ninth pillar. This is the first of four planned new pillars from the v4.0.0 architecture proposal, sequenced one at a time per Jason's direction. Long-term care is the natural starting pillar because it complements existing Pillars Four (Healthcare), Six (Mental Health), and Eight (Paid Family Time); plugs directly into existing analytical infrastructure including the Aging In Place Implications document; and has perhaps the most actively-engaged existing advocacy ecosystem (AARP, Caring Across Generations) of any of the four new pillars.</w:t>
      </w:r>
    </w:p>
    <w:p>
      <w:pPr>
        <w:spacing w:after="240" w:before="480"/>
      </w:pPr>
      <w:r>
        <w:rPr>
          <w:rFonts w:ascii="Arial" w:cs="Arial" w:eastAsia="Arial" w:hAnsi="Arial"/>
          <w:b/>
          <w:bCs/>
          <w:color w:val="1F4E78"/>
          <w:sz w:val="36"/>
          <w:szCs w:val="36"/>
        </w:rPr>
        <w:t>Pillar Nine architecture summary</w:t>
      </w:r>
    </w:p>
    <w:p>
      <w:pPr>
        <w:spacing w:after="240" w:before="480"/>
      </w:pPr>
      <w:r>
        <w:rPr>
          <w:rFonts w:ascii="Arial" w:cs="Arial" w:eastAsia="Arial" w:hAnsi="Arial"/>
          <w:b/>
          <w:bCs/>
          <w:color w:val="1F4E78"/>
          <w:sz w:val="36"/>
          <w:szCs w:val="36"/>
        </w:rPr>
        <w:t>Contribution rate (canonical): 1.0 percent combined payroll, split as 0.6 percent employer / 0.4 percent employee. The asymmetric split follows the pattern of Pillars Five, Six, and Eight where employer contributes the larger share. Aggregate revenue: approximately $250 billion per year at full implementation. Benefit cost: approximately $525 to $700 billion per year at full implementation, with the gap closed by three offsetting mechanisms (federal Medicaid LTC substitution; state-level LTC substitution; high-earner-architecture backstop). Coverage: home and community-based services (preferred default), institutional care, adult day services, respite care, family caregiver support including limited family-caregiver-employment compensation, assistive technology and home modifications, care coordination. Eligibility: functional assessment using standardized instrument (parallel to WA Cares ADL/IADL assessment), no asset spend-down, no income test, no marriage-status-dependent eligibility rule. Transition: 15-year horizon parallel to Pillars Four and Five.</w:t>
      </w:r>
    </w:p>
    <w:p>
      <w:pPr>
        <w:spacing w:after="240" w:before="480"/>
      </w:pPr>
      <w:r>
        <w:rPr>
          <w:rFonts w:ascii="Arial" w:cs="Arial" w:eastAsia="Arial" w:hAnsi="Arial"/>
          <w:b/>
          <w:bCs/>
          <w:color w:val="1F4E78"/>
          <w:sz w:val="36"/>
          <w:szCs w:val="36"/>
        </w:rPr>
        <w:t>Architectural integrations</w:t>
      </w:r>
    </w:p>
    <w:p>
      <w:pPr>
        <w:spacing w:after="240" w:before="480"/>
      </w:pPr>
      <w:r>
        <w:rPr>
          <w:rFonts w:ascii="Arial" w:cs="Arial" w:eastAsia="Arial" w:hAnsi="Arial"/>
          <w:b/>
          <w:bCs/>
          <w:color w:val="1F4E78"/>
          <w:sz w:val="36"/>
          <w:szCs w:val="36"/>
        </w:rPr>
        <w:t>Pillar Nine integrates with Pillar Four (Universal Healthcare Access) for medically-coded long-term care; the boundary follows the existing Medicare/Medicaid distinction. Pillar Nine integrates with Pillar Six (Universal Mental Health Access) for individuals with cognitive or psychiatric care components. Pillar Nine integrates with Pillar Eight (Universal Paid Family Time) for working-age individuals providing care to family members; Pillar Eight covers worker wage replacement during caregiving leave while Pillar Nine covers care-recipient services. Pillar Nine has no hard dependencies on Pillars One, Two, Three, Five, or Seven; it can be borrowed independently as a standalone universal-LTC proposal.</w:t>
      </w:r>
    </w:p>
    <w:p>
      <w:pPr>
        <w:spacing w:after="240" w:before="480"/>
      </w:pPr>
      <w:r>
        <w:rPr>
          <w:rFonts w:ascii="Arial" w:cs="Arial" w:eastAsia="Arial" w:hAnsi="Arial"/>
          <w:b/>
          <w:bCs/>
          <w:color w:val="1F4E78"/>
          <w:sz w:val="36"/>
          <w:szCs w:val="36"/>
        </w:rPr>
        <w:t>Files modified</w:t>
      </w:r>
    </w:p>
    <w:p>
      <w:pPr>
        <w:spacing w:after="240" w:before="480"/>
      </w:pPr>
      <w:r>
        <w:rPr>
          <w:rFonts w:ascii="Arial" w:cs="Arial" w:eastAsia="Arial" w:hAnsi="Arial"/>
          <w:b/>
          <w:bCs/>
          <w:color w:val="1F4E78"/>
          <w:sz w:val="36"/>
          <w:szCs w:val="36"/>
        </w:rPr>
        <w:t>New file: 05_Universal_Long_Term_Care_Substantiation.docx (forty-six paragraphs, version one point zero). Master We The People Platform document updated: cover tagline changed from 'Eight Pillars. One Foundation.' to 'Nine Pillars. One Foundation.', and a new Pillar Nine section added between Pillar Eight and the conclusion. Federal Fiscal Impact Analysis updated: headline summary updated to reference nine pillars and approximately $4.7 trillion total commitment (previously eight pillars and approximately $4.2 trillion); Pillar Nine commitment line added to New Federal Commitments at Mature Steady State section. Pillars Borrow Independently document updated with Pillar Nine adoption-guide section. OPEN-1 canonical decision updated to document Pillar Nine contribution rate. Platform GUI (platform_index.html) tagline updated.</w:t>
      </w:r>
    </w:p>
    <w:p>
      <w:pPr>
        <w:spacing w:after="240" w:before="480"/>
      </w:pPr>
      <w:r>
        <w:rPr>
          <w:rFonts w:ascii="Arial" w:cs="Arial" w:eastAsia="Arial" w:hAnsi="Arial"/>
          <w:b/>
          <w:bCs/>
          <w:color w:val="1F4E78"/>
          <w:sz w:val="36"/>
          <w:szCs w:val="36"/>
        </w:rPr>
        <w:t>Open issues for Pillar Nine</w:t>
      </w:r>
    </w:p>
    <w:p>
      <w:pPr>
        <w:spacing w:after="240" w:before="480"/>
      </w:pPr>
      <w:r>
        <w:rPr>
          <w:rFonts w:ascii="Arial" w:cs="Arial" w:eastAsia="Arial" w:hAnsi="Arial"/>
          <w:b/>
          <w:bCs/>
          <w:color w:val="1F4E78"/>
          <w:sz w:val="36"/>
          <w:szCs w:val="36"/>
        </w:rPr>
        <w:t>Five Pillar-Nine-specific items requiring credentialed external review will be added to the Open Issues Registry as RESEARCH or PERSONA-SIG entries in future iterations as engagement targets are identified: actuarial validation of contribution-rate calibration; institutional design for federal-state coordination; provider-payment-rate design; family-caregiver-employment policy specifics; and cognitive-impairment-specific care design. The substantiation document explicitly acknowledges these limits in its Open Issues and Limits section. v3.3.0 does not add Section 47 entries for these items because Section 47 entry creation is paired with engagement-target identification, which is part of the Milestone A engagement execution rather than the platform-content iteration. Future iterations will add the Section 47 entries when engagement targets are specified.</w:t>
      </w:r>
    </w:p>
    <w:p>
      <w:pPr>
        <w:spacing w:after="240" w:before="480"/>
      </w:pPr>
      <w:r>
        <w:rPr>
          <w:rFonts w:ascii="Arial" w:cs="Arial" w:eastAsia="Arial" w:hAnsi="Arial"/>
          <w:b/>
          <w:bCs/>
          <w:color w:val="1F4E78"/>
          <w:sz w:val="36"/>
          <w:szCs w:val="36"/>
        </w:rPr>
        <w:t>What v3.3.0 does NOT change</w:t>
      </w:r>
    </w:p>
    <w:p>
      <w:pPr>
        <w:spacing w:after="240" w:before="480"/>
      </w:pPr>
      <w:r>
        <w:rPr>
          <w:rFonts w:ascii="Arial" w:cs="Arial" w:eastAsia="Arial" w:hAnsi="Arial"/>
          <w:b/>
          <w:bCs/>
          <w:color w:val="1F4E78"/>
          <w:sz w:val="36"/>
          <w:szCs w:val="36"/>
        </w:rPr>
        <w:t>The first eight pillars are unchanged in architecture, contribution rates, benefit specifications, or substantiation. The high-earner architecture (graduated income surcharge plus wealth surcharge plus wealth tax) is unchanged. The sovereign fund mechanism is unchanged. The audit infrastructure is unchanged at eight layers and sixteen operations. Calculator unchanged in this iteration; a future patch will add Pillar Nine contribution rate display following the calculator's existing employee-share-display convention used for Pillars Five, Six, and Eight. Section 47 entry count unchanged; the twelve OPEN external-expertise items remain twelve. The What Done Looks Like decision framework is unchanged.</w:t>
      </w:r>
    </w:p>
    <w:p>
      <w:pPr>
        <w:spacing w:after="240" w:before="480"/>
      </w:pPr>
      <w:r>
        <w:rPr>
          <w:rFonts w:ascii="Arial" w:cs="Arial" w:eastAsia="Arial" w:hAnsi="Arial"/>
          <w:b/>
          <w:bCs/>
          <w:color w:val="1F4E78"/>
          <w:sz w:val="36"/>
          <w:szCs w:val="36"/>
        </w:rPr>
        <w:t>Next pillar in sequence</w:t>
      </w:r>
    </w:p>
    <w:p>
      <w:pPr>
        <w:spacing w:after="240" w:before="480"/>
      </w:pPr>
      <w:r>
        <w:rPr>
          <w:rFonts w:ascii="Arial" w:cs="Arial" w:eastAsia="Arial" w:hAnsi="Arial"/>
          <w:b/>
          <w:bCs/>
          <w:color w:val="1F4E78"/>
          <w:sz w:val="36"/>
          <w:szCs w:val="36"/>
        </w:rPr>
        <w:t>Three new pillars remain from the v4.0.0 architecture proposal: Climate (carbon-pricing hybrid; canonical $50 to $100 per ton with fifty-fifty dividend-investment split); Housing (federal-state conditional grants; canonical $50 to $100 billion per year); Immigration (comprehensive reform; canonical $30 to $50 billion per year). These will be added in subsequent v3.x.0 minor-version iterations per the one-pillar-at-a-time sequencing direction. The ordering of the remaining three is open to Jason's preference; factors include political accessibility (housing is least politically charged of the three), analytical complexity (climate's carbon-pricing-hybrid is the most architecturally novel), and existing platform-document foundation (housing has prior Section 8 analysis; climate has the existing Climate Policy Beyond Grid Modernization document; immigration has no prior platform-document foundation).</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substantiation document; TOC coverage needed for the new document; PV doc count claim needs to bump from ninety-three to ninety-four. Tagline-update consistency across the master document, Federal Fiscal Impact Analysis headline, and platform GUI was checked manually. All catches resolved in standard manifest-and-TOC update sequence.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v3.3.0 is the fifty-sixth consecutive clean current-iteration narrative produced under the abstracted-language auto-check discipline. The four-phase cycle proceeded normally: Phase 1 audit was clean baseline at v3.2.10; Phase 2 created the Pillar Nine substantiation, updated the master document, FFIA, and Pillars Borrow Independently, updated the OPEN-1 canonical, and updated the platform GUI; Phase 3 verified clean state across all sixteen audit operations including the PV count claim consistency check; Phase 4 documents the iteration here.</w:t>
      </w:r>
    </w:p>
    <w:p>
      <w:pPr>
        <w:pStyle w:val="Heading1"/>
      </w:pPr>
      <w:r>
        <w:t>Section 100: v3.3.1 Milestone B1 Execution Materials</w:t>
      </w:r>
    </w:p>
    <w:p>
      <w:pPr>
        <w:spacing w:after="240" w:before="480"/>
      </w:pPr>
      <w:r>
        <w:rPr>
          <w:rFonts w:ascii="Arial" w:cs="Arial" w:eastAsia="Arial" w:hAnsi="Arial"/>
          <w:b/>
          <w:bCs/>
          <w:color w:val="1F4E78"/>
          <w:sz w:val="36"/>
          <w:szCs w:val="36"/>
        </w:rPr>
        <w:t>v3.3.1 produces the execution-prep materials needed to satisfy Milestone B1 (self-publication as searchable reference work) per the v3.2.9 What Done Looks Like decision framework. The deliverables include the main execution checklist document plus a deployment bundle of files at the package root that the checklist references. Together, they reduce Milestone B1 execution from a substantial uncertain-scope undertaking to a step-by-step process with specific recommendations and pre-drafted artifacts.</w:t>
      </w:r>
    </w:p>
    <w:p>
      <w:pPr>
        <w:spacing w:after="240" w:before="480"/>
      </w:pPr>
      <w:r>
        <w:rPr>
          <w:rFonts w:ascii="Arial" w:cs="Arial" w:eastAsia="Arial" w:hAnsi="Arial"/>
          <w:b/>
          <w:bCs/>
          <w:color w:val="1F4E78"/>
          <w:sz w:val="36"/>
          <w:szCs w:val="36"/>
        </w:rPr>
        <w:t>What was produced</w:t>
      </w:r>
    </w:p>
    <w:p>
      <w:pPr>
        <w:spacing w:after="240" w:before="480"/>
      </w:pPr>
      <w:r>
        <w:rPr>
          <w:rFonts w:ascii="Arial" w:cs="Arial" w:eastAsia="Arial" w:hAnsi="Arial"/>
          <w:b/>
          <w:bCs/>
          <w:color w:val="1F4E78"/>
          <w:sz w:val="36"/>
          <w:szCs w:val="36"/>
        </w:rPr>
        <w:t>Main deliverable: 05_Milestone_B1_Execution_Checklist.docx (seventy-four paragraphs, version one point zero). Walks through eight steps (domain registration; hosting setup; permanent archival deposit; citation metadata page; lead-author bio and disclosure pages; license declaration; contact mechanism; initial public announcement) plus verification of Milestone B1 satisfaction. Each step includes specific recommendations rather than abstract options where possible: Cloudflare Registrar for domain; Cloudflare Pages for hosting; Zenodo for primary archive (DOI-issuing); Internet Archive for secondary archive; CC BY-NC-SA 4.0 for license; dedicated email for contact mechanism.</w:t>
      </w:r>
    </w:p>
    <w:p>
      <w:pPr>
        <w:spacing w:after="240" w:before="480"/>
      </w:pPr>
      <w:r>
        <w:rPr>
          <w:rFonts w:ascii="Arial" w:cs="Arial" w:eastAsia="Arial" w:hAnsi="Arial"/>
          <w:b/>
          <w:bCs/>
          <w:color w:val="1F4E78"/>
          <w:sz w:val="36"/>
          <w:szCs w:val="36"/>
        </w:rPr>
        <w:t>Deployment bundle files at package root: lead_author_bio.md (the lead author's bio with explicit non-credentialing disclosure; deployable as a public-facing page); disclosure.md (the platform's transparency conventions and acknowledged limits; deployable as a public-facing page); citation.bib, citation.ris, citation_apa.txt, and citation_chicago.txt (citation metadata in four formats; DOI field is placeholder pending Zenodo deposit); LICENSE.md (CC BY-NC-SA 4.0 declaration with attribution-format guidance and commercial-use-inquiry path); README_PUBLIC.md (public-facing site README distinct from the package's internal README, with quick navigation and reader-by-audience guidance); domain_candidates.md (specific domain name candidates with cost and registrar recommendations).</w:t>
      </w:r>
    </w:p>
    <w:p>
      <w:pPr>
        <w:spacing w:after="240" w:before="480"/>
      </w:pPr>
      <w:r>
        <w:rPr>
          <w:rFonts w:ascii="Arial" w:cs="Arial" w:eastAsia="Arial" w:hAnsi="Arial"/>
          <w:b/>
          <w:bCs/>
          <w:color w:val="1F4E78"/>
          <w:sz w:val="36"/>
          <w:szCs w:val="36"/>
        </w:rPr>
        <w:t>What this iteration does NOT do</w:t>
      </w:r>
    </w:p>
    <w:p>
      <w:pPr>
        <w:spacing w:after="240" w:before="480"/>
      </w:pPr>
      <w:r>
        <w:rPr>
          <w:rFonts w:ascii="Arial" w:cs="Arial" w:eastAsia="Arial" w:hAnsi="Arial"/>
          <w:b/>
          <w:bCs/>
          <w:color w:val="1F4E78"/>
          <w:sz w:val="36"/>
          <w:szCs w:val="36"/>
        </w:rPr>
        <w:t>v3.3.1 does not register a domain, set up hosting, deposit to Zenodo or Internet Archive, configure email forwarding, or announce the platform publicly. Those actions are the lead author's to take and require accounts, payments, and credentials that the platform's iteration cycle cannot produce. v3.3.1 reduces those actions to a step-by-step checklist with pre-drafted artifacts so the lead author can execute Milestone B1 efficiently when ready, but the execution itself remains the lead author's.</w:t>
      </w:r>
    </w:p>
    <w:p>
      <w:pPr>
        <w:spacing w:after="240" w:before="480"/>
      </w:pPr>
      <w:r>
        <w:rPr>
          <w:rFonts w:ascii="Arial" w:cs="Arial" w:eastAsia="Arial" w:hAnsi="Arial"/>
          <w:b/>
          <w:bCs/>
          <w:color w:val="1F4E78"/>
          <w:sz w:val="36"/>
          <w:szCs w:val="36"/>
        </w:rPr>
        <w:t>v3.3.1 also does not modify the platform's analytical content. The nine pillars are unchanged. The Open Issues Registry's Section 47 is unchanged. The calculator is unchanged. The What Done Looks Like decision framework is unchanged. v3.3.1 is purely additive: an execution-prep document and a deployment bundle that operationalize the existing decision framework's Milestone B1 criteria.</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execution checklist; TOC coverage needed for the new document; PV doc count claim needs to bump from ninety-four to ninety-five. The deployment bundle files at package root (the markdown files, citation files, license, etc.) are deployment artifacts rather than analytical content; they do not require manifest entries, parallel to how the existing GUI files (platform_index.html, platform_catalog.js, platform_catalog.json, platform_index_README.md) are at the package root without manifest entries.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v3.3.1 is the fifty-seventh consecutive clean current-iteration narrative produced under the abstracted-language auto-check discipline. The four-phase cycle proceeded normally: Phase 1 audit was clean baseline at v3.3.0; Phase 2 created the execution checklist and the deployment bundle; Phase 3 verified clean state across all sixteen audit operations including the PV count claim consistency check; Phase 4 documents the iteration here.</w:t>
      </w:r>
    </w:p>
    <w:p>
      <w:pPr>
        <w:pStyle w:val="Heading1"/>
      </w:pPr>
      <w:r>
        <w:t>Section 101: v3.4.0 Pillar Ten Added — Federal Housing Investment</w:t>
      </w:r>
    </w:p>
    <w:p>
      <w:pPr>
        <w:spacing w:after="240" w:before="480"/>
      </w:pPr>
      <w:r>
        <w:rPr>
          <w:rFonts w:ascii="Arial" w:cs="Arial" w:eastAsia="Arial" w:hAnsi="Arial"/>
          <w:b/>
          <w:bCs/>
          <w:color w:val="1F4E78"/>
          <w:sz w:val="36"/>
          <w:szCs w:val="36"/>
        </w:rPr>
        <w:t>v3.4.0 is the second pillar-addition iteration in the v3.x series, adding Pillar Ten (Federal Housing Investment) as the platform's tenth pillar. This is the second of four planned new pillars from the v4.0.0 architecture proposal, sequenced one at a time per Jason's direction. Housing follows long-term care in the sequence per the ranking analysis from the v3.3.0 ship-and-pause point: housing has lower political charge than climate or immigration; existing platform-document foundation in the Section 8 housing analysis; and an actively-engaged advocacy ecosystem spanning both supply-side YIMBY framing and rental-assistance progressive framing.</w:t>
      </w:r>
    </w:p>
    <w:p>
      <w:pPr>
        <w:spacing w:after="240" w:before="480"/>
      </w:pPr>
      <w:r>
        <w:rPr>
          <w:rFonts w:ascii="Arial" w:cs="Arial" w:eastAsia="Arial" w:hAnsi="Arial"/>
          <w:b/>
          <w:bCs/>
          <w:color w:val="1F4E78"/>
          <w:sz w:val="36"/>
          <w:szCs w:val="36"/>
        </w:rPr>
        <w:t>Pillar Ten architecture summary</w:t>
      </w:r>
    </w:p>
    <w:p>
      <w:pPr>
        <w:spacing w:after="240" w:before="480"/>
      </w:pPr>
      <w:r>
        <w:rPr>
          <w:rFonts w:ascii="Arial" w:cs="Arial" w:eastAsia="Arial" w:hAnsi="Arial"/>
          <w:b/>
          <w:bCs/>
          <w:color w:val="1F4E78"/>
          <w:sz w:val="36"/>
          <w:szCs w:val="36"/>
        </w:rPr>
        <w:t>Funding: federal general revenue, principally from the platform's high-earner architecture (graduated income surcharge plus wealth surcharge plus wealth tax) plus existing federal housing program substitution (Section 8 vouchers, project-based rental assistance, public housing operating, LIHTC tax expenditure). Pillar Ten does NOT use a payroll contribution and does NOT trigger an OPEN-1 canonical update. Aggregate commitment at full implementation: approximately one hundred forty-five billion per year (approximately seventy billion absorbed from existing federal housing programs plus approximately seventy-five billion in net new federal commitment). Distribution mechanism: federal-state conditional grants. Components: universal rental assistance (eliminating Section 8 waitlist; reaches all income-eligible households); federal-state conditional grants for housing supply expansion (grant access tied to state-level zoning reform); public housing capital investment (addresses deferred maintenance backlog); supportive housing for special populations; Housing First homelessness response. Transition: 15-20 year horizon, longer than payroll-funded pillars because constrained by construction cycles and zoning reform timelines.</w:t>
      </w:r>
    </w:p>
    <w:p>
      <w:pPr>
        <w:spacing w:after="240" w:before="480"/>
      </w:pPr>
      <w:r>
        <w:rPr>
          <w:rFonts w:ascii="Arial" w:cs="Arial" w:eastAsia="Arial" w:hAnsi="Arial"/>
          <w:b/>
          <w:bCs/>
          <w:color w:val="1F4E78"/>
          <w:sz w:val="36"/>
          <w:szCs w:val="36"/>
        </w:rPr>
        <w:t>Architectural integrations</w:t>
      </w:r>
    </w:p>
    <w:p>
      <w:pPr>
        <w:spacing w:after="240" w:before="480"/>
      </w:pPr>
      <w:r>
        <w:rPr>
          <w:rFonts w:ascii="Arial" w:cs="Arial" w:eastAsia="Arial" w:hAnsi="Arial"/>
          <w:b/>
          <w:bCs/>
          <w:color w:val="1F4E78"/>
          <w:sz w:val="36"/>
          <w:szCs w:val="36"/>
        </w:rPr>
        <w:t>Pillar Ten integrates with Pillar Six (Universal Mental Health Access) for supportive housing's mental-health-component services. Pillar Ten integrates with Pillar Nine (Universal Long-Term Care) for supportive housing's aging-population-services component. Pillar Ten has hard dependency on a federal revenue source for the incremental commitment (the high-earner architecture in the platform or substituted equivalent for borrowing organizations). Pillar Ten has no other hard dependencies; it can be borrowed independently as a standalone federal-housing-investment proposal under whatever overall fiscal architecture the borrowing organization adopts.</w:t>
      </w:r>
    </w:p>
    <w:p>
      <w:pPr>
        <w:spacing w:after="240" w:before="480"/>
      </w:pPr>
      <w:r>
        <w:rPr>
          <w:rFonts w:ascii="Arial" w:cs="Arial" w:eastAsia="Arial" w:hAnsi="Arial"/>
          <w:b/>
          <w:bCs/>
          <w:color w:val="1F4E78"/>
          <w:sz w:val="36"/>
          <w:szCs w:val="36"/>
        </w:rPr>
        <w:t>Architectural difference from prior payroll-funded pillars</w:t>
      </w:r>
    </w:p>
    <w:p>
      <w:pPr>
        <w:spacing w:after="240" w:before="480"/>
      </w:pPr>
      <w:r>
        <w:rPr>
          <w:rFonts w:ascii="Arial" w:cs="Arial" w:eastAsia="Arial" w:hAnsi="Arial"/>
          <w:b/>
          <w:bCs/>
          <w:color w:val="1F4E78"/>
          <w:sz w:val="36"/>
          <w:szCs w:val="36"/>
        </w:rPr>
        <w:t>Pillar Ten is the platform's first pillar added in the v3.x series that does NOT use a payroll contribution mechanism. The structural rationale: housing supply is largely state and local; rental assistance is geographically variable in cost; the federal role is more about funding and conditioning than direct provision. Payroll contributions correlate well with individual benefits like healthcare and childcare where the contribution base matches the using population, but correlate less well with housing where the federal role is more macroeconomic and supply-policy than individual-benefit. Pillar Ten therefore parallels Pillar One (Community Contribution Plan) in funding architecture rather than Pillars Four through Six and Eight through Nine. This architectural variety within the platform reflects the underlying policy reality that different categories of universal benefit are structurally different.</w:t>
      </w:r>
    </w:p>
    <w:p>
      <w:pPr>
        <w:spacing w:after="240" w:before="480"/>
      </w:pPr>
      <w:r>
        <w:rPr>
          <w:rFonts w:ascii="Arial" w:cs="Arial" w:eastAsia="Arial" w:hAnsi="Arial"/>
          <w:b/>
          <w:bCs/>
          <w:color w:val="1F4E78"/>
          <w:sz w:val="36"/>
          <w:szCs w:val="36"/>
        </w:rPr>
        <w:t>Files modified</w:t>
      </w:r>
    </w:p>
    <w:p>
      <w:pPr>
        <w:spacing w:after="240" w:before="480"/>
      </w:pPr>
      <w:r>
        <w:rPr>
          <w:rFonts w:ascii="Arial" w:cs="Arial" w:eastAsia="Arial" w:hAnsi="Arial"/>
          <w:b/>
          <w:bCs/>
          <w:color w:val="1F4E78"/>
          <w:sz w:val="36"/>
          <w:szCs w:val="36"/>
        </w:rPr>
        <w:t>New file: 05_Federal_Housing_Investment_Substantiation.docx (fifty-six paragraphs, version one point zero). Master We The People Platform document updated: cover tagline changed from 'Nine Pillars. One Foundation.' to 'Ten Pillars. One Foundation.', and a new Pillar Ten section added between Pillar Nine and the conclusion. Federal Fiscal Impact Analysis updated: headline summary updated to reference ten pillars and Pillar Ten commitment composition; Pillar Ten commitment line added to New Federal Commitments at Mature Steady State section. Pillars Borrow Independently document updated with Pillar Ten adoption-guide section. Platform GUI (platform_index.html) tagline updated. The previously-existing Section 8 Housing analysis is unchanged but is recharacterized in the new substantiation document as supplementary historical context rather than primary housing reference.</w:t>
      </w:r>
    </w:p>
    <w:p>
      <w:pPr>
        <w:spacing w:after="240" w:before="480"/>
      </w:pPr>
      <w:r>
        <w:rPr>
          <w:rFonts w:ascii="Arial" w:cs="Arial" w:eastAsia="Arial" w:hAnsi="Arial"/>
          <w:b/>
          <w:bCs/>
          <w:color w:val="1F4E78"/>
          <w:sz w:val="36"/>
          <w:szCs w:val="36"/>
        </w:rPr>
        <w:t>Open issues for Pillar Ten</w:t>
      </w:r>
    </w:p>
    <w:p>
      <w:pPr>
        <w:spacing w:after="240" w:before="480"/>
      </w:pPr>
      <w:r>
        <w:rPr>
          <w:rFonts w:ascii="Arial" w:cs="Arial" w:eastAsia="Arial" w:hAnsi="Arial"/>
          <w:b/>
          <w:bCs/>
          <w:color w:val="1F4E78"/>
          <w:sz w:val="36"/>
          <w:szCs w:val="36"/>
        </w:rPr>
        <w:t>Six Pillar-Ten-specific items requiring credentialed external review are documented in the new substantiation document and will be added to the Open Issues Registry as RESEARCH or PERSONA-SIG entries in future iterations as engagement targets are identified: housing economics review (supply elasticity assumptions; conditional-grants leverage effectiveness); institutional design review of federal-state conditional grants framework; legal review under South Dakota v. Dole and subsequent conditional-grants doctrine; housing-administration review of universal rental assistance implementation capacity at HUD and at state level; supportive-housing program design review with focus on Housing First evidence base; construction-workforce-capacity review. v3.4.0 does not add Section 47 entries for these items because Section 47 entry creation is paired with engagement-target identification, which is part of the Milestone A engagement execution rather than the platform-content iteration. Future iterations will add the Section 47 entries when engagement targets are specified.</w:t>
      </w:r>
    </w:p>
    <w:p>
      <w:pPr>
        <w:spacing w:after="240" w:before="480"/>
      </w:pPr>
      <w:r>
        <w:rPr>
          <w:rFonts w:ascii="Arial" w:cs="Arial" w:eastAsia="Arial" w:hAnsi="Arial"/>
          <w:b/>
          <w:bCs/>
          <w:color w:val="1F4E78"/>
          <w:sz w:val="36"/>
          <w:szCs w:val="36"/>
        </w:rPr>
        <w:t>What v3.4.0 does NOT change</w:t>
      </w:r>
    </w:p>
    <w:p>
      <w:pPr>
        <w:spacing w:after="240" w:before="480"/>
      </w:pPr>
      <w:r>
        <w:rPr>
          <w:rFonts w:ascii="Arial" w:cs="Arial" w:eastAsia="Arial" w:hAnsi="Arial"/>
          <w:b/>
          <w:bCs/>
          <w:color w:val="1F4E78"/>
          <w:sz w:val="36"/>
          <w:szCs w:val="36"/>
        </w:rPr>
        <w:t>The first nine pillars are unchanged in architecture, contribution rates, benefit specifications, or substantiation. The high-earner architecture is unchanged in design (Pillar Ten draws on it but does not modify it). The sovereign fund mechanism is unchanged. The audit infrastructure is unchanged at eight layers and sixteen operations. Calculator unchanged in this iteration; Pillar Ten does not have a payroll contribution rate to display. Section 47 entry count unchanged; the twelve OPEN external-expertise items remain twelve. The What Done Looks Like decision framework is unchanged. The Milestone B1 execution materials produced in v3.3.1 are unchanged. OPEN-1 canonical is NOT updated for Pillar Ten because Pillar Ten does not have a payroll contribution rate.</w:t>
      </w:r>
    </w:p>
    <w:p>
      <w:pPr>
        <w:spacing w:after="240" w:before="480"/>
      </w:pPr>
      <w:r>
        <w:rPr>
          <w:rFonts w:ascii="Arial" w:cs="Arial" w:eastAsia="Arial" w:hAnsi="Arial"/>
          <w:b/>
          <w:bCs/>
          <w:color w:val="1F4E78"/>
          <w:sz w:val="36"/>
          <w:szCs w:val="36"/>
        </w:rPr>
        <w:t>Next pillar in sequence</w:t>
      </w:r>
    </w:p>
    <w:p>
      <w:pPr>
        <w:spacing w:after="240" w:before="480"/>
      </w:pPr>
      <w:r>
        <w:rPr>
          <w:rFonts w:ascii="Arial" w:cs="Arial" w:eastAsia="Arial" w:hAnsi="Arial"/>
          <w:b/>
          <w:bCs/>
          <w:color w:val="1F4E78"/>
          <w:sz w:val="36"/>
          <w:szCs w:val="36"/>
        </w:rPr>
        <w:t>Two new pillars remain from the v4.0.0 architecture proposal: Climate (carbon-pricing hybrid; canonical $50 to $100 per ton with fifty-fifty dividend-investment split); Immigration (comprehensive reform; canonical $30 to $50 billion per year). The ranking analysis from the v3.3.0 ship-and-pause point recommended Climate before Immigration on grounds of architectural complexity (climate's carbon-pricing-hybrid is the most novel of the remaining pillars; immigration is most politically charged and accumulating platform credibility before tackling it is preferable). The ordering remains open to Jason's preference; the recommendation is informational not prescriptive.</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substantiation document; TOC coverage needed for the new document; PV doc count claim needs to bump from ninety-five to ninety-six. Tagline-update consistency across the master document, Federal Fiscal Impact Analysis headline, and platform GUI was checked manually. All catches resolved in standard manifest-and-TOC update sequence.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v3.4.0 is the fifty-eighth consecutive clean current-iteration narrative produced under the abstracted-language auto-check discipline. The four-phase cycle proceeded normally: Phase 1 audit was clean baseline at v3.3.1; Phase 2 created the Pillar Ten substantiation, updated the master document, FFIA, Pillars Borrow Independently, and updated the platform GUI; Phase 3 verified clean state across all sixteen audit operations including the PV count claim consistency check; Phase 4 documents the iteration here.</w:t>
      </w:r>
    </w:p>
    <w:p>
      <w:pPr>
        <w:pStyle w:val="Heading1"/>
      </w:pPr>
      <w:r>
        <w:t>Section 102: v3.5.0 Pillar Eleven Added — Climate Architecture</w:t>
      </w:r>
    </w:p>
    <w:p>
      <w:pPr>
        <w:spacing w:after="240" w:before="480"/>
      </w:pPr>
      <w:r>
        <w:rPr>
          <w:rFonts w:ascii="Arial" w:cs="Arial" w:eastAsia="Arial" w:hAnsi="Arial"/>
          <w:b/>
          <w:bCs/>
          <w:color w:val="1F4E78"/>
          <w:sz w:val="36"/>
          <w:szCs w:val="36"/>
        </w:rPr>
        <w:t>v3.5.0 is the third pillar-addition iteration in the v3.x series, adding Pillar Eleven (Climate Architecture) as the platform's eleventh pillar. This is the third of four planned new pillars from the v4.0.0 architecture proposal, sequenced one at a time per Jason's direction. Climate follows long-term care (v3.3.0) and housing (v3.4.0) per the ranking analysis from the v3.4.0 ship-and-pause point: climate has higher architectural complexity than housing (the carbon-pricing-hybrid is the most novel funding architecture in the v4.0.0 proposal); accumulating platform credibility through long-term care and housing first is preferable; immigration remains as the most politically charged of the four and is sequenced last.</w:t>
      </w:r>
    </w:p>
    <w:p>
      <w:pPr>
        <w:spacing w:after="240" w:before="480"/>
      </w:pPr>
      <w:r>
        <w:rPr>
          <w:rFonts w:ascii="Arial" w:cs="Arial" w:eastAsia="Arial" w:hAnsi="Arial"/>
          <w:b/>
          <w:bCs/>
          <w:color w:val="1F4E78"/>
          <w:sz w:val="36"/>
          <w:szCs w:val="36"/>
        </w:rPr>
        <w:t>Pillar Eleven architecture summary</w:t>
      </w:r>
    </w:p>
    <w:p>
      <w:pPr>
        <w:spacing w:after="240" w:before="480"/>
      </w:pPr>
      <w:r>
        <w:rPr>
          <w:rFonts w:ascii="Arial" w:cs="Arial" w:eastAsia="Arial" w:hAnsi="Arial"/>
          <w:b/>
          <w:bCs/>
          <w:color w:val="1F4E78"/>
          <w:sz w:val="36"/>
          <w:szCs w:val="36"/>
        </w:rPr>
        <w:t>Funding: an economy-wide upstream carbon price applied to fossil fuels at the point of extraction or import. Starting price: fifty dollars per metric ton CO2-equivalent in year one. Mature price: one hundred dollars per metric ton CO2-equivalent reached over an approximately ten-year transition. Coverage: approximately seventy-five to eighty percent of U.S. CO2-equivalent emissions. Border adjustment: applies the carbon price to imported goods based on embedded carbon content; exempts U.S. exports. Pillar Eleven does NOT use a payroll contribution and does NOT trigger an OPEN-1 canonical update. Gross revenue at the mature price: approximately three hundred to four hundred billion dollars per year (one hundred dollars per ton applied to approximately three to four billion tons covered). Gross revenue at the starting price: approximately one hundred fifty to two hundred billion per year. Revenue declines over time as the price's incentive effect produces decarbonization.</w:t>
      </w:r>
    </w:p>
    <w:p>
      <w:pPr>
        <w:spacing w:after="240" w:before="480"/>
      </w:pPr>
      <w:r>
        <w:rPr>
          <w:rFonts w:ascii="Arial" w:cs="Arial" w:eastAsia="Arial" w:hAnsi="Arial"/>
          <w:b/>
          <w:bCs/>
          <w:color w:val="1F4E78"/>
          <w:sz w:val="36"/>
          <w:szCs w:val="36"/>
        </w:rPr>
        <w:t>Revenue allocation: fifty-fifty dividend and investment</w:t>
      </w:r>
    </w:p>
    <w:p>
      <w:pPr>
        <w:spacing w:after="240" w:before="480"/>
      </w:pPr>
      <w:r>
        <w:rPr>
          <w:rFonts w:ascii="Arial" w:cs="Arial" w:eastAsia="Arial" w:hAnsi="Arial"/>
          <w:b/>
          <w:bCs/>
          <w:color w:val="1F4E78"/>
          <w:sz w:val="36"/>
          <w:szCs w:val="36"/>
        </w:rPr>
        <w:t>Half of carbon-price revenue flows to a per-capita carbon dividend with adjustments for household composition: each adult receives an equal share; each child receives a half-share, capped at two children per household. At the mature price, per-adult dividend approximately six hundred to seven hundred dollars per year; four-person household approximately two thousand dollars per year. The dividend is not means-tested; carbon-price-plus-dividend distributional effect is progressive on net for households below approximately the seventieth percentile of household income. Half of carbon-price revenue flows to four investment categories: clean energy infrastructure (approximately twenty-five percent of total revenue); transmission grid modernization (approximately ten percent); just-transition support for fossil-fuel-dependent communities and workers (approximately ten percent); and clean-energy innovation programs (approximately five percent). The fifty-fifty split is the platform's canonical and is calibrated against two design considerations: a dividend large enough to meaningfully offset the carbon-price's regressive incidence on lower-income households; and an investment portion large enough to materially accelerate clean-energy transition and just-transition support beyond what the price signal alone produces.</w:t>
      </w:r>
    </w:p>
    <w:p>
      <w:pPr>
        <w:spacing w:after="240" w:before="480"/>
      </w:pPr>
      <w:r>
        <w:rPr>
          <w:rFonts w:ascii="Arial" w:cs="Arial" w:eastAsia="Arial" w:hAnsi="Arial"/>
          <w:b/>
          <w:bCs/>
          <w:color w:val="1F4E78"/>
          <w:sz w:val="36"/>
          <w:szCs w:val="36"/>
        </w:rPr>
        <w:t>Architectural integrations</w:t>
      </w:r>
    </w:p>
    <w:p>
      <w:pPr>
        <w:spacing w:after="240" w:before="480"/>
      </w:pPr>
      <w:r>
        <w:rPr>
          <w:rFonts w:ascii="Arial" w:cs="Arial" w:eastAsia="Arial" w:hAnsi="Arial"/>
          <w:b/>
          <w:bCs/>
          <w:color w:val="1F4E78"/>
          <w:sz w:val="36"/>
          <w:szCs w:val="36"/>
        </w:rPr>
        <w:t>Pillar Eleven is fiscally independent: net federal-bottom-line impact zero because all carbon-price revenue is recycled to households as dividend or invested in specified clean-energy and just-transition programs. Pillar Eleven does not contribute to the platform's other commitments and is not drawn upon by the high-earner architecture or sovereign fund. Soft dependency on Pillar Seven (Civic Infrastructure): Pillar Eleven's transmission grid modernization component complements Pillar Seven's broader infrastructure commitments; the two pillars work together better than either does alone but each can be borrowed independently. No hard dependencies on other pillars; Pillar Eleven is one of the platform's most independently-adoptable pillars.</w:t>
      </w:r>
    </w:p>
    <w:p>
      <w:pPr>
        <w:spacing w:after="240" w:before="480"/>
      </w:pPr>
      <w:r>
        <w:rPr>
          <w:rFonts w:ascii="Arial" w:cs="Arial" w:eastAsia="Arial" w:hAnsi="Arial"/>
          <w:b/>
          <w:bCs/>
          <w:color w:val="1F4E78"/>
          <w:sz w:val="36"/>
          <w:szCs w:val="36"/>
        </w:rPr>
        <w:t>Architectural difference from prior pillars</w:t>
      </w:r>
    </w:p>
    <w:p>
      <w:pPr>
        <w:spacing w:after="240" w:before="480"/>
      </w:pPr>
      <w:r>
        <w:rPr>
          <w:rFonts w:ascii="Arial" w:cs="Arial" w:eastAsia="Arial" w:hAnsi="Arial"/>
          <w:b/>
          <w:bCs/>
          <w:color w:val="1F4E78"/>
          <w:sz w:val="36"/>
          <w:szCs w:val="36"/>
        </w:rPr>
        <w:t>Pillar Eleven joins Pillars One, Three, Seven, and Ten in not using a payroll contribution mechanism. The structural rationale: the carbon price is a corrective price that internalizes externalities; revenue from the price is a consequence of the policy not its purpose; revenue allocation reflects equity-and-efficiency design choices about how to handle the regressive incidence of carbon pricing. Payroll contributions correlate well with individual benefits like healthcare and childcare where the contribution base matches the using population, but correlate poorly with corrective-pricing applications. Pillar Eleven therefore parallels Pillars One and Ten in non-payroll funding, and uniquely among platform pillars is also fiscally independent of all other pillars. This architectural variety within the platform reflects the underlying policy reality that different categories of universal benefit are structurally different.</w:t>
      </w:r>
    </w:p>
    <w:p>
      <w:pPr>
        <w:spacing w:after="240" w:before="480"/>
      </w:pPr>
      <w:r>
        <w:rPr>
          <w:rFonts w:ascii="Arial" w:cs="Arial" w:eastAsia="Arial" w:hAnsi="Arial"/>
          <w:b/>
          <w:bCs/>
          <w:color w:val="1F4E78"/>
          <w:sz w:val="36"/>
          <w:szCs w:val="36"/>
        </w:rPr>
        <w:t>Files modified</w:t>
      </w:r>
    </w:p>
    <w:p>
      <w:pPr>
        <w:spacing w:after="240" w:before="480"/>
      </w:pPr>
      <w:r>
        <w:rPr>
          <w:rFonts w:ascii="Arial" w:cs="Arial" w:eastAsia="Arial" w:hAnsi="Arial"/>
          <w:b/>
          <w:bCs/>
          <w:color w:val="1F4E78"/>
          <w:sz w:val="36"/>
          <w:szCs w:val="36"/>
        </w:rPr>
        <w:t>New file: 05_Climate_Architecture_Substantiation.docx (fifty-three paragraphs, version one point zero). Master We The People Platform document updated: cover tagline changed from 'Ten Pillars. One Foundation.' to 'Eleven Pillars. One Foundation.', and a new Pillar Eleven section added between Pillar Ten and the conclusion. Federal Fiscal Impact Analysis updated: headline summary updated to reference eleven pillars, with Pillar Eleven explicitly noted as fiscally independent (zero net federal-bottom-line impact); Pillar Eleven commitment line added to New Federal Commitments at Mature Steady State section. Pillars Borrow Independently document updated with Pillar Eleven adoption-guide section. Platform GUI (platform_index.html) tagline updated. The previously-existing Climate Policy Beyond Grid Modernization analysis is unchanged but is recharacterized in the new substantiation document as supplementary historical context rather than primary climate reference.</w:t>
      </w:r>
    </w:p>
    <w:p>
      <w:pPr>
        <w:spacing w:after="240" w:before="480"/>
      </w:pPr>
      <w:r>
        <w:rPr>
          <w:rFonts w:ascii="Arial" w:cs="Arial" w:eastAsia="Arial" w:hAnsi="Arial"/>
          <w:b/>
          <w:bCs/>
          <w:color w:val="1F4E78"/>
          <w:sz w:val="36"/>
          <w:szCs w:val="36"/>
        </w:rPr>
        <w:t>Open issues for Pillar Eleven</w:t>
      </w:r>
    </w:p>
    <w:p>
      <w:pPr>
        <w:spacing w:after="240" w:before="480"/>
      </w:pPr>
      <w:r>
        <w:rPr>
          <w:rFonts w:ascii="Arial" w:cs="Arial" w:eastAsia="Arial" w:hAnsi="Arial"/>
          <w:b/>
          <w:bCs/>
          <w:color w:val="1F4E78"/>
          <w:sz w:val="36"/>
          <w:szCs w:val="36"/>
        </w:rPr>
        <w:t>Seven Pillar-Eleven-specific items requiring credentialed external review are documented in the new substantiation document and will be added to the Open Issues Registry as RESEARCH or PERSONA-SIG entries in future iterations as engagement targets are identified: climate-economics review of price trajectory against social cost of carbon estimates and emissions trajectory targets; international trade law review of the border adjustment mechanism (WTO compatibility; EU CBAM as ongoing precedent); institutional design review of Treasury dividend distribution; institutional design review of the federal clean-energy investment fund; just-transition program design with credentialed labor-economics input; complementary-policy review for non-priced emissions; finer-detail distributional analysis. v3.5.0 does not add Section 47 entries for these items, parallel to how Pillar Ten and Pillar Nine items were handled.</w:t>
      </w:r>
    </w:p>
    <w:p>
      <w:pPr>
        <w:spacing w:after="240" w:before="480"/>
      </w:pPr>
      <w:r>
        <w:rPr>
          <w:rFonts w:ascii="Arial" w:cs="Arial" w:eastAsia="Arial" w:hAnsi="Arial"/>
          <w:b/>
          <w:bCs/>
          <w:color w:val="1F4E78"/>
          <w:sz w:val="36"/>
          <w:szCs w:val="36"/>
        </w:rPr>
        <w:t>What v3.5.0 does NOT change</w:t>
      </w:r>
    </w:p>
    <w:p>
      <w:pPr>
        <w:spacing w:after="240" w:before="480"/>
      </w:pPr>
      <w:r>
        <w:rPr>
          <w:rFonts w:ascii="Arial" w:cs="Arial" w:eastAsia="Arial" w:hAnsi="Arial"/>
          <w:b/>
          <w:bCs/>
          <w:color w:val="1F4E78"/>
          <w:sz w:val="36"/>
          <w:szCs w:val="36"/>
        </w:rPr>
        <w:t>The first ten pillars are unchanged in architecture, contribution rates, benefit specifications, or substantiation. The high-earner architecture is unchanged. The sovereign fund mechanism is unchanged. The audit infrastructure is unchanged at eight layers and sixteen operations. Calculator unchanged in this iteration; Pillar Eleven does not have a payroll contribution rate to display, though a future calculator update could add a 'carbon dividend received' line as an offset against the carbon price flowing through consumer prices. Section 47 entry count unchanged; the twelve OPEN external-expertise items remain twelve. The What Done Looks Like decision framework is unchanged. The Milestone B1 execution materials produced in v3.3.1 are unchanged. OPEN-1 canonical is NOT updated for Pillar Eleven because Pillar Eleven does not have a payroll contribution rate.</w:t>
      </w:r>
    </w:p>
    <w:p>
      <w:pPr>
        <w:spacing w:after="240" w:before="480"/>
      </w:pPr>
      <w:r>
        <w:rPr>
          <w:rFonts w:ascii="Arial" w:cs="Arial" w:eastAsia="Arial" w:hAnsi="Arial"/>
          <w:b/>
          <w:bCs/>
          <w:color w:val="1F4E78"/>
          <w:sz w:val="36"/>
          <w:szCs w:val="36"/>
        </w:rPr>
        <w:t>Next pillar in sequence</w:t>
      </w:r>
    </w:p>
    <w:p>
      <w:pPr>
        <w:spacing w:after="240" w:before="480"/>
      </w:pPr>
      <w:r>
        <w:rPr>
          <w:rFonts w:ascii="Arial" w:cs="Arial" w:eastAsia="Arial" w:hAnsi="Arial"/>
          <w:b/>
          <w:bCs/>
          <w:color w:val="1F4E78"/>
          <w:sz w:val="36"/>
          <w:szCs w:val="36"/>
        </w:rPr>
        <w:t>One new pillar remains from the v4.0.0 architecture proposal: Immigration (comprehensive reform; canonical $30 to $50 billion per year). Immigration is sequenced last because it is the most politically charged of the four new pillars and accumulating platform credibility through Pillars Nine, Ten, and Eleven first was preferable. With v3.5.0 shipped, Immigration is the natural next step in the v3.x pillar sequence. After Immigration ships as v3.6.0, the platform will have completed the v4.0.0 architecture proposal one pillar at a time and will reach a natural pause point with the full pillar set in place.</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substantiation document; TOC coverage needed for the new document; PV doc count claim needs to bump from ninety-six to ninety-seven. Tagline-update consistency across the master document, Federal Fiscal Impact Analysis headline, and platform GUI was checked manually. All catches resolved in standard manifest-and-TOC update sequence.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v3.5.0 is the fifty-ninth consecutive clean current-iteration narrative produced under the abstracted-language auto-check discipline. The four-phase cycle proceeded normally: Phase 1 audit was clean baseline at v3.4.0; Phase 2 created the Pillar Eleven substantiation, updated the master document, FFIA, Pillars Borrow Independently, and updated the platform GUI; Phase 3 verified clean state across all sixteen audit operations including the PV count claim consistency check; Phase 4 documents the iteration here.</w:t>
      </w:r>
    </w:p>
    <w:p>
      <w:pPr>
        <w:pStyle w:val="Heading1"/>
      </w:pPr>
      <w:r>
        <w:t>Section 103: v3.6.0 Pillar Twelve Added — Immigration Architecture (v4.0.0 Sequence Complete)</w:t>
      </w:r>
    </w:p>
    <w:p>
      <w:pPr>
        <w:spacing w:after="240" w:before="480"/>
      </w:pPr>
      <w:r>
        <w:rPr>
          <w:rFonts w:ascii="Arial" w:cs="Arial" w:eastAsia="Arial" w:hAnsi="Arial"/>
          <w:b/>
          <w:bCs/>
          <w:color w:val="1F4E78"/>
          <w:sz w:val="36"/>
          <w:szCs w:val="36"/>
        </w:rPr>
        <w:t>v3.6.0 is the fourth and final pillar-addition iteration in the v3.x series for the v4.0.0 architecture proposal, adding Pillar Twelve (Immigration Architecture) as the platform's twelfth pillar. Immigration was sequenced last per the ranking analysis from the v3.4.0 ship-and-pause point: immigration is the most politically charged of the four new pillars; accumulating platform credibility through Pillars Nine, Ten, and Eleven first was preferable. With v3.6.0 shipped, the four-pillar expansion that started with Pillar Nine in v3.3.0 is now substantively complete.</w:t>
      </w:r>
    </w:p>
    <w:p>
      <w:pPr>
        <w:spacing w:after="240" w:before="480"/>
      </w:pPr>
      <w:r>
        <w:rPr>
          <w:rFonts w:ascii="Arial" w:cs="Arial" w:eastAsia="Arial" w:hAnsi="Arial"/>
          <w:b/>
          <w:bCs/>
          <w:color w:val="1F4E78"/>
          <w:sz w:val="36"/>
          <w:szCs w:val="36"/>
        </w:rPr>
        <w:t>Pillar Twelve architecture summary</w:t>
      </w:r>
    </w:p>
    <w:p>
      <w:pPr>
        <w:spacing w:after="240" w:before="480"/>
      </w:pPr>
      <w:r>
        <w:rPr>
          <w:rFonts w:ascii="Arial" w:cs="Arial" w:eastAsia="Arial" w:hAnsi="Arial"/>
          <w:b/>
          <w:bCs/>
          <w:color w:val="1F4E78"/>
          <w:sz w:val="36"/>
          <w:szCs w:val="36"/>
        </w:rPr>
        <w:t>Funding: federal general revenue supplemented by user fees that already substantially fund USCIS operations through the Immigration Examinations Fee Account. Aggregate gross federal commitment at full implementation: approximately thirty to fifty billion dollars per year. Pillar Twelve does NOT use a payroll contribution; OPEN-1 canonical NOT updated. Net fiscal impact: positive on the 10-to-20-year horizon. The National Academies of Sciences, Engineering, and Medicine 2017 consensus report concluded that immigrants and their descendants are a substantial net fiscal positive over the long horizon. CBO scoring of S.744 (2013) projected approximately one trillion dollars in deficit reduction over twenty years from comprehensive reform; subsequent comparable proposals have produced similar magnitudes. Pillar Twelve's gross expenditure is more than offset by tax revenue increases over the medium-to-long horizon, producing positive net fiscal impact.</w:t>
      </w:r>
    </w:p>
    <w:p>
      <w:pPr>
        <w:spacing w:after="240" w:before="480"/>
      </w:pPr>
      <w:r>
        <w:rPr>
          <w:rFonts w:ascii="Arial" w:cs="Arial" w:eastAsia="Arial" w:hAnsi="Arial"/>
          <w:b/>
          <w:bCs/>
          <w:color w:val="1F4E78"/>
          <w:sz w:val="36"/>
          <w:szCs w:val="36"/>
        </w:rPr>
        <w:t>Six components</w:t>
      </w:r>
    </w:p>
    <w:p>
      <w:pPr>
        <w:spacing w:after="240" w:before="480"/>
      </w:pPr>
      <w:r>
        <w:rPr>
          <w:rFonts w:ascii="Arial" w:cs="Arial" w:eastAsia="Arial" w:hAnsi="Arial"/>
          <w:b/>
          <w:bCs/>
          <w:color w:val="1F4E78"/>
          <w:sz w:val="36"/>
          <w:szCs w:val="36"/>
        </w:rPr>
        <w:t>Component One: Pathway to Legal Status for approximately eleven million long-resident undocumented immigrants over a multi-year process (twelve to fifteen years from registration to naturalization eligibility) with vetting, fees, English-language proficiency, earned naturalization track. Special tracks for DACA recipients, TPS holders with long residency, agricultural workers, long-tenured workers in shortage occupations. Estimated administrative cost approximately two to three billion per year at full implementation. Component Two: Legal Immigration Modernization including increased employment-based green card allocations from approximately one hundred forty thousand to approximately three hundred thousand annually; elimination of per-country caps; new categories for shortage-occupation workers including healthcare workers, K-12 teachers, skilled trades; recapture of unused green card allocations; family-based reform. Estimated cost approximately five to seven billion per year (partly user-fee funded). Component Three: Asylum and Refugee Processing capacity expansion with backlog elimination (currently exceeding three million asylum cases with five-to-seven year waits) and refugee admissions framework restoration to historical norms (~100-125K annually). Estimated cost approximately five to eight billion per year. Component Four: Workforce Visa Reform across H-1B (auction-based or wage-prioritized allocation; longer validity; spouse work authorization), H-2A (year-round availability; pathway-to-status track), H-2B, and new shortage-occupation categories for healthcare workforce. Estimated administrative cost approximately three to five billion per year. Component Five: Integration Support with federal investment in English-language instruction, civic integration programming, and naturalization preparation including fee-waiver expansion. Estimated cost approximately three to five billion per year. Component Six: Border Management Modernization focused on ports of entry where the substantial majority of fentanyl actually enters; technology investment; CBP workforce capacity expansion at ports of entry; cooperation frameworks with Mexico and Central America. Estimated cost approximately eight to twelve billion per year, largely rationalizing existing CBP and ICE budgets toward priorities aligning with actual border-management needs.</w:t>
      </w:r>
    </w:p>
    <w:p>
      <w:pPr>
        <w:spacing w:after="240" w:before="480"/>
      </w:pPr>
      <w:r>
        <w:rPr>
          <w:rFonts w:ascii="Arial" w:cs="Arial" w:eastAsia="Arial" w:hAnsi="Arial"/>
          <w:b/>
          <w:bCs/>
          <w:color w:val="1F4E78"/>
          <w:sz w:val="36"/>
          <w:szCs w:val="36"/>
        </w:rPr>
        <w:t>Architectural integrations and modularity</w:t>
      </w:r>
    </w:p>
    <w:p>
      <w:pPr>
        <w:spacing w:after="240" w:before="480"/>
      </w:pPr>
      <w:r>
        <w:rPr>
          <w:rFonts w:ascii="Arial" w:cs="Arial" w:eastAsia="Arial" w:hAnsi="Arial"/>
          <w:b/>
          <w:bCs/>
          <w:color w:val="1F4E78"/>
          <w:sz w:val="36"/>
          <w:szCs w:val="36"/>
        </w:rPr>
        <w:t>Pillar Twelve has no hard dependencies on other pillars. Soft dependencies include Pillar Six (Universal Mental Health Access) for asylum-seeker mental health support; Pillar Nine (Universal Long-Term Care) for direct-care workforce expansion that Pillar Twelve's healthcare workforce visas support; Pillar Ten (Federal Housing Investment) for housing supply expansion alongside population growth from pathway to status. Pillar Twelve can be borrowed as a standalone comprehensive immigration reform proposal under whatever overall fiscal architecture the borrowing organization adopts, given the positive net fiscal impact.</w:t>
      </w:r>
    </w:p>
    <w:p>
      <w:pPr>
        <w:spacing w:after="240" w:before="480"/>
      </w:pPr>
      <w:r>
        <w:rPr>
          <w:rFonts w:ascii="Arial" w:cs="Arial" w:eastAsia="Arial" w:hAnsi="Arial"/>
          <w:b/>
          <w:bCs/>
          <w:color w:val="1F4E78"/>
          <w:sz w:val="36"/>
          <w:szCs w:val="36"/>
        </w:rPr>
        <w:t>Architectural difference from prior pillars</w:t>
      </w:r>
    </w:p>
    <w:p>
      <w:pPr>
        <w:spacing w:after="240" w:before="480"/>
      </w:pPr>
      <w:r>
        <w:rPr>
          <w:rFonts w:ascii="Arial" w:cs="Arial" w:eastAsia="Arial" w:hAnsi="Arial"/>
          <w:b/>
          <w:bCs/>
          <w:color w:val="1F4E78"/>
          <w:sz w:val="36"/>
          <w:szCs w:val="36"/>
        </w:rPr>
        <w:t>Pillar Twelve joins Pillars One, Three, Seven, Ten, and Eleven in not using a payroll contribution mechanism. Six of the platform's twelve pillars are payroll-funded (Pillars Four, Five, Six, Eight, and Nine; plus Pillar Two which is structurally tax-architecture rather than payroll-contribution); six are funded through other mechanisms (general revenue from high-earner architecture for Pillars One, Three, Ten; Federal Infrastructure Fee for Pillar Seven; carbon price for Pillar Eleven; general revenue plus user fees for Pillar Twelve). The architectural variety reflects that different categories of universal benefit are structurally different: individual benefits calibrated to using populations are naturally payroll-funded; corrective pricing applications are naturally fee-funded with revenue recycling; foundational infrastructure is naturally general-revenue-funded.</w:t>
      </w:r>
    </w:p>
    <w:p>
      <w:pPr>
        <w:spacing w:after="240" w:before="480"/>
      </w:pPr>
      <w:r>
        <w:rPr>
          <w:rFonts w:ascii="Arial" w:cs="Arial" w:eastAsia="Arial" w:hAnsi="Arial"/>
          <w:b/>
          <w:bCs/>
          <w:color w:val="1F4E78"/>
          <w:sz w:val="36"/>
          <w:szCs w:val="36"/>
        </w:rPr>
        <w:t>Files modified</w:t>
      </w:r>
    </w:p>
    <w:p>
      <w:pPr>
        <w:spacing w:after="240" w:before="480"/>
      </w:pPr>
      <w:r>
        <w:rPr>
          <w:rFonts w:ascii="Arial" w:cs="Arial" w:eastAsia="Arial" w:hAnsi="Arial"/>
          <w:b/>
          <w:bCs/>
          <w:color w:val="1F4E78"/>
          <w:sz w:val="36"/>
          <w:szCs w:val="36"/>
        </w:rPr>
        <w:t>New file: 05_Immigration_Architecture_Substantiation.docx (forty-seven paragraphs, version one point zero). Master We The People Platform document updated: cover tagline changed from 'Eleven Pillars. One Foundation.' to 'Twelve Pillars. One Foundation.', and a new Pillar Twelve section added between Pillar Eleven and the conclusion. Federal Fiscal Impact Analysis updated: headline summary updated to reference twelve pillars with Pillar Twelve fiscal impact characterized as positive net on 10-20 year horizon; Pillar Twelve commitment line added. Pillars Borrow Independently document updated with Pillar Twelve adoption-guide section. Platform GUI (platform_index.html) tagline updated.</w:t>
      </w:r>
    </w:p>
    <w:p>
      <w:pPr>
        <w:spacing w:after="240" w:before="480"/>
      </w:pPr>
      <w:r>
        <w:rPr>
          <w:rFonts w:ascii="Arial" w:cs="Arial" w:eastAsia="Arial" w:hAnsi="Arial"/>
          <w:b/>
          <w:bCs/>
          <w:color w:val="1F4E78"/>
          <w:sz w:val="36"/>
          <w:szCs w:val="36"/>
        </w:rPr>
        <w:t>Open issues for Pillar Twelve</w:t>
      </w:r>
    </w:p>
    <w:p>
      <w:pPr>
        <w:spacing w:after="240" w:before="480"/>
      </w:pPr>
      <w:r>
        <w:rPr>
          <w:rFonts w:ascii="Arial" w:cs="Arial" w:eastAsia="Arial" w:hAnsi="Arial"/>
          <w:b/>
          <w:bCs/>
          <w:color w:val="1F4E78"/>
          <w:sz w:val="36"/>
          <w:szCs w:val="36"/>
        </w:rPr>
        <w:t>Seven Pillar-Twelve-specific items requiring credentialed external review are documented in the new substantiation document: immigration economics review of fiscal impact projections; legal review of pathway-to-status mechanisms; USCIS administrative-capacity review; workforce-economics review of visa reforms; border-management review; integration-program effectiveness review; tribal-nations and border-area tribal lands consultation. v3.6.0 does not add Section 47 entries for these items, parallel to how Pillars Nine, Ten, and Eleven items were handled. Future iterations will add the Section 47 entries when engagement targets are specified.</w:t>
      </w:r>
    </w:p>
    <w:p>
      <w:pPr>
        <w:spacing w:after="240" w:before="480"/>
      </w:pPr>
      <w:r>
        <w:rPr>
          <w:rFonts w:ascii="Arial" w:cs="Arial" w:eastAsia="Arial" w:hAnsi="Arial"/>
          <w:b/>
          <w:bCs/>
          <w:color w:val="1F4E78"/>
          <w:sz w:val="36"/>
          <w:szCs w:val="36"/>
        </w:rPr>
        <w:t>Significance: v4.0.0 architecture proposal sequence complete</w:t>
      </w:r>
    </w:p>
    <w:p>
      <w:pPr>
        <w:spacing w:after="240" w:before="480"/>
      </w:pPr>
      <w:r>
        <w:rPr>
          <w:rFonts w:ascii="Arial" w:cs="Arial" w:eastAsia="Arial" w:hAnsi="Arial"/>
          <w:b/>
          <w:bCs/>
          <w:color w:val="1F4E78"/>
          <w:sz w:val="36"/>
          <w:szCs w:val="36"/>
        </w:rPr>
        <w:t>v3.6.0 completes the v4.0.0 four-pillar architecture proposal that was sequenced one pillar at a time per Jason's direction starting with v3.3.0 (Universal Long-Term Care), continued through v3.4.0 (Federal Housing Investment) and v3.5.0 (Climate Architecture), and completed with this iteration's Pillar Twelve (Immigration Architecture). The platform now has its full twelve-pillar set in place. With this iteration shipped, the platform reaches a natural pause point where the major analytical content is in place and the natural next steps are predominantly on the lead author's side: Milestone A engagement (sending letters, commissioning audit, initiating tribal consultation) and Milestone B1 publication (domain registration, hosting, archival deposit). The Milestone B1 execution materials produced in v3.3.1 are ready for use whenever the lead author chooses to execute. The Milestone A engagement-targets decision document remains as a possible next platform-side iteration if the lead author wants help structuring the academic and audit-firm outreach.</w:t>
      </w:r>
    </w:p>
    <w:p>
      <w:pPr>
        <w:spacing w:after="240" w:before="480"/>
      </w:pPr>
      <w:r>
        <w:rPr>
          <w:rFonts w:ascii="Arial" w:cs="Arial" w:eastAsia="Arial" w:hAnsi="Arial"/>
          <w:b/>
          <w:bCs/>
          <w:color w:val="1F4E78"/>
          <w:sz w:val="36"/>
          <w:szCs w:val="36"/>
        </w:rPr>
        <w:t>Future iterations</w:t>
      </w:r>
    </w:p>
    <w:p>
      <w:pPr>
        <w:spacing w:after="240" w:before="480"/>
      </w:pPr>
      <w:r>
        <w:rPr>
          <w:rFonts w:ascii="Arial" w:cs="Arial" w:eastAsia="Arial" w:hAnsi="Arial"/>
          <w:b/>
          <w:bCs/>
          <w:color w:val="1F4E78"/>
          <w:sz w:val="36"/>
          <w:szCs w:val="36"/>
        </w:rPr>
        <w:t>Future iterations will be smaller in scope than the four pillar-addition iterations (v3.3.0, v3.4.0, v3.5.0, v3.6.0) since the major structural expansion is now complete. Plausible future iteration types: refinement of specific pillars based on Milestone A external engagement feedback; addition of Section 47 entries for the new-pillar-specific RESEARCH and PERSONA-SIG items as engagement targets are identified (these would resolve to YES with engagement underway, allowing the platform to claim engagement outreach as evidence rather than just acknowledgment of need); calculator updates to reflect the additional pillars where applicable (Pillar Nine LTC contribution rate addition; possible Pillar Eleven carbon-dividend offset notation; possible Pillar Twelve workforce-visa-effects communication element); minor improvements identified in the OBS audit findings; cross-reference updates as documents are linked together more thoroughly.</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after document creation: manifest entry needed for the new substantiation document; TOC coverage needed for the new document; PV doc count claim needs to bump from ninety-seven to ninety-eight. Tagline-update consistency across the master document, Federal Fiscal Impact Analysis headline, and platform GUI was checked manually. All catches resolved in standard manifest-and-TOC update sequence.</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v3.6.0 is the sixtieth consecutive clean current-iteration narrative produced under the abstracted-language auto-check discipline. The four-phase cycle proceeded normally: Phase 1 audit was clean baseline at v3.5.0; Phase 2 created the Pillar Twelve substantiation, updated the master document, FFIA, Pillars Borrow Independently, and updated the platform GUI; Phase 3 verified clean state across all sixteen audit operations including the PV count claim consistency check; Phase 4 documents the iteration here. v3.6.0 is also a milestone iteration: it completes the v4.0.0 architecture proposal sequence and brings the platform to its intended full pillar set.</w:t>
      </w:r>
    </w:p>
    <w:p>
      <w:pPr>
        <w:pStyle w:val="Heading1"/>
      </w:pPr>
      <w:r>
        <w:t>Section 104: v3.6.1 Embedded Document Viewer in Platform GUI</w:t>
      </w:r>
    </w:p>
    <w:p>
      <w:pPr>
        <w:spacing w:after="240" w:before="480"/>
      </w:pPr>
      <w:r>
        <w:rPr>
          <w:rFonts w:ascii="Arial" w:cs="Arial" w:eastAsia="Arial" w:hAnsi="Arial"/>
          <w:b/>
          <w:bCs/>
          <w:color w:val="1F4E78"/>
          <w:sz w:val="36"/>
          <w:szCs w:val="36"/>
        </w:rPr>
        <w:t>v3.6.1 is a small patch iteration that enhances the platform GUI (platform_index.html) to render documents inline within the GUI rather than navigating away from the GUI when documents are clicked. The motivation is audience-facing usability: when the platform is deployed publicly via Milestone B1, audience members should be able to interact only with the GUI rather than juggling the GUI plus external document applications. Pre-v3.6.1 behavior: clicking a document in the GUI either replaced the GUI with the document (for html files) or downloaded the document for opening in a native application (for docx, xlsx, and similar formats); in both cases the audience experience was disrupted by the context shift.</w:t>
      </w:r>
    </w:p>
    <w:p>
      <w:pPr>
        <w:spacing w:after="240" w:before="480"/>
      </w:pPr>
      <w:r>
        <w:rPr>
          <w:rFonts w:ascii="Arial" w:cs="Arial" w:eastAsia="Arial" w:hAnsi="Arial"/>
          <w:b/>
          <w:bCs/>
          <w:color w:val="1F4E78"/>
          <w:sz w:val="36"/>
          <w:szCs w:val="36"/>
        </w:rPr>
        <w:t>Implementation</w:t>
      </w:r>
    </w:p>
    <w:p>
      <w:pPr>
        <w:spacing w:after="240" w:before="480"/>
      </w:pPr>
      <w:r>
        <w:rPr>
          <w:rFonts w:ascii="Arial" w:cs="Arial" w:eastAsia="Arial" w:hAnsi="Arial"/>
          <w:b/>
          <w:bCs/>
          <w:color w:val="1F4E78"/>
          <w:sz w:val="36"/>
          <w:szCs w:val="36"/>
        </w:rPr>
        <w:t>The v3.6.1 enhancement adds a viewer modal panel within the GUI that opens when a document card is clicked. Document content is rendered inline using format-specific libraries: Mammoth.js for .docx files (converts Word documents to HTML preserving headings, paragraphs, lists, and tables); SheetJS (xlsx library) for .xlsx files (renders spreadsheets as HTML tables); Marked.js for .md files (the deployment bundle markdown documents); native browser iframe for .html files (the calculator and similar interactive content); native browser PDF rendering for .pdf files. Plain text formats (.txt, .csv, .json, .bib, .ris) render as preformatted text. For each document type, the viewer header includes a Download original button that lets users grab the source file if they prefer their native application; the Esc key and clicking the modal backdrop close the viewer; keyboard accessibility is supported.</w:t>
      </w:r>
    </w:p>
    <w:p>
      <w:pPr>
        <w:spacing w:after="240" w:before="480"/>
      </w:pPr>
      <w:r>
        <w:rPr>
          <w:rFonts w:ascii="Arial" w:cs="Arial" w:eastAsia="Arial" w:hAnsi="Arial"/>
          <w:b/>
          <w:bCs/>
          <w:color w:val="1F4E78"/>
          <w:sz w:val="36"/>
          <w:szCs w:val="36"/>
        </w:rPr>
        <w:t>Local-file protocol fallback</w:t>
      </w:r>
    </w:p>
    <w:p>
      <w:pPr>
        <w:spacing w:after="240" w:before="480"/>
      </w:pPr>
      <w:r>
        <w:rPr>
          <w:rFonts w:ascii="Arial" w:cs="Arial" w:eastAsia="Arial" w:hAnsi="Arial"/>
          <w:b/>
          <w:bCs/>
          <w:color w:val="1F4E78"/>
          <w:sz w:val="36"/>
          <w:szCs w:val="36"/>
        </w:rPr>
        <w:t>When the GUI is opened via the file protocol (a user unzipping the package and double-clicking platform_index.html locally), the embedded viewer is automatically disabled because browser security policies prevent fetch requests to sibling local files when served via the file protocol. In this fallback mode, document links behave as before with one improvement: html links open in a new tab/window rather than replacing the GUI, preserving the GUI for navigation. The local-file mode shows a small notice banner if the viewer modal is somehow opened. This dual-mode design ensures the GUI works correctly both for the audience-facing hosted deployment (where the embedded viewer is the primary interaction model) and for local-file users (where native applications remain the document viewer).</w:t>
      </w:r>
    </w:p>
    <w:p>
      <w:pPr>
        <w:spacing w:after="240" w:before="480"/>
      </w:pPr>
      <w:r>
        <w:rPr>
          <w:rFonts w:ascii="Arial" w:cs="Arial" w:eastAsia="Arial" w:hAnsi="Arial"/>
          <w:b/>
          <w:bCs/>
          <w:color w:val="1F4E78"/>
          <w:sz w:val="36"/>
          <w:szCs w:val="36"/>
        </w:rPr>
        <w:t>Stale data fix</w:t>
      </w:r>
    </w:p>
    <w:p>
      <w:pPr>
        <w:spacing w:after="240" w:before="480"/>
      </w:pPr>
      <w:r>
        <w:rPr>
          <w:rFonts w:ascii="Arial" w:cs="Arial" w:eastAsia="Arial" w:hAnsi="Arial"/>
          <w:b/>
          <w:bCs/>
          <w:color w:val="1F4E78"/>
          <w:sz w:val="36"/>
          <w:szCs w:val="36"/>
        </w:rPr>
        <w:t>The v3.6.1 patch also fixed a stale data display in the GUI masthead: the Pillars count was hardcoded to eight, reflecting an earlier platform state, and was updated to twelve to match the current platform pillar count after the v4.0.0 architecture proposal sequence completion in v3.6.0.</w:t>
      </w:r>
    </w:p>
    <w:p>
      <w:pPr>
        <w:spacing w:after="240" w:before="480"/>
      </w:pPr>
      <w:r>
        <w:rPr>
          <w:rFonts w:ascii="Arial" w:cs="Arial" w:eastAsia="Arial" w:hAnsi="Arial"/>
          <w:b/>
          <w:bCs/>
          <w:color w:val="1F4E78"/>
          <w:sz w:val="36"/>
          <w:szCs w:val="36"/>
        </w:rPr>
        <w:t>Library loading</w:t>
      </w:r>
    </w:p>
    <w:p>
      <w:pPr>
        <w:spacing w:after="240" w:before="480"/>
      </w:pPr>
      <w:r>
        <w:rPr>
          <w:rFonts w:ascii="Arial" w:cs="Arial" w:eastAsia="Arial" w:hAnsi="Arial"/>
          <w:b/>
          <w:bCs/>
          <w:color w:val="1F4E78"/>
          <w:sz w:val="36"/>
          <w:szCs w:val="36"/>
        </w:rPr>
        <w:t>The viewer libraries (Mammoth.js, Marked.js, SheetJS) are loaded from CDN-hosted distributions with the defer attribute to avoid blocking page rendering. If a CDN is temporarily unavailable, the viewer degrades gracefully: a clear error message in the viewer modal directs users to download the original file, and other viewer functionality continues to work. CDN selections: Mammoth.js from cdnjs.cloudflare.com (a Cloudflare-operated CDN); Marked.js from cdn.jsdelivr.net (a community CDN); SheetJS from cdn.jsdelivr.net at a specific pinned version (0.18.5) to avoid breaking changes. Library file sizes are modest: Mammoth.js approximately fifty kilobytes; Marked.js approximately thirty kilobytes; SheetJS approximately one megabyte (loaded only when needed for spreadsheet rendering).</w:t>
      </w:r>
    </w:p>
    <w:p>
      <w:pPr>
        <w:spacing w:after="240" w:before="480"/>
      </w:pPr>
      <w:r>
        <w:rPr>
          <w:rFonts w:ascii="Arial" w:cs="Arial" w:eastAsia="Arial" w:hAnsi="Arial"/>
          <w:b/>
          <w:bCs/>
          <w:color w:val="1F4E78"/>
          <w:sz w:val="36"/>
          <w:szCs w:val="36"/>
        </w:rPr>
        <w:t>What v3.6.1 does NOT change</w:t>
      </w:r>
    </w:p>
    <w:p>
      <w:pPr>
        <w:spacing w:after="240" w:before="480"/>
      </w:pPr>
      <w:r>
        <w:rPr>
          <w:rFonts w:ascii="Arial" w:cs="Arial" w:eastAsia="Arial" w:hAnsi="Arial"/>
          <w:b/>
          <w:bCs/>
          <w:color w:val="1F4E78"/>
          <w:sz w:val="36"/>
          <w:szCs w:val="36"/>
        </w:rPr>
        <w:t>The platform's analytical content is unchanged. All twelve pillars unchanged. The Open Issues Registry tracking is unchanged (Section 47 still 64 Y / 0 N). The audit infrastructure is unchanged. The calculator is unchanged. The Milestone B1 execution materials produced in v3.3.1 are unchanged. The Pillars Borrow Independently document is unchanged. The Federal Fiscal Impact Analysis is unchanged. v3.6.1 is purely a GUI enhancement that improves audience-facing usability without modifying any substantive content.</w:t>
      </w:r>
    </w:p>
    <w:p>
      <w:pPr>
        <w:spacing w:after="240" w:before="480"/>
      </w:pPr>
      <w:r>
        <w:rPr>
          <w:rFonts w:ascii="Arial" w:cs="Arial" w:eastAsia="Arial" w:hAnsi="Arial"/>
          <w:b/>
          <w:bCs/>
          <w:color w:val="1F4E78"/>
          <w:sz w:val="36"/>
          <w:szCs w:val="36"/>
        </w:rPr>
        <w:t>Manifest and TOC</w:t>
      </w:r>
    </w:p>
    <w:p>
      <w:pPr>
        <w:spacing w:after="240" w:before="480"/>
      </w:pPr>
      <w:r>
        <w:rPr>
          <w:rFonts w:ascii="Arial" w:cs="Arial" w:eastAsia="Arial" w:hAnsi="Arial"/>
          <w:b/>
          <w:bCs/>
          <w:color w:val="1F4E78"/>
          <w:sz w:val="36"/>
          <w:szCs w:val="36"/>
        </w:rPr>
        <w:t>v3.6.1 does not modify the document manifest or the platform TOC because the GUI files (platform_index.html, platform_catalog.js, platform_catalog.json, platform_index_README.md) are at the package root rather than in the analytical-content folders that the manifest tracks, parallel to how the deployment bundle files added in v3.3.1 are at the package root and are not manifest-tracked. The PV doc count claim of ninety-eight documents and models is unchanged for the same reason.</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none, because v3.6.1 modifies only the GUI file which is not tracked by manifest, TOC, or Section 47 audit operations. Audit count should be unchanged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v3.6.1 is the sixty-first consecutive clean current-iteration narrative produced under the abstracted-language auto-check discipline. The four-phase cycle proceeded normally: Phase 1 audit was clean baseline at v3.6.0; Phase 2 modified platform_index.html with viewer modal, CSS, JavaScript, and CDN library references; Phase 3 verified clean state across all sixteen audit operations; Phase 4 documents the iteration here.</w:t>
      </w:r>
    </w:p>
    <w:p>
      <w:pPr>
        <w:pStyle w:val="Heading1"/>
      </w:pPr>
      <w:r>
        <w:t>Section 105: v3.6.2 GUI Support Files Reorganization</w:t>
      </w:r>
    </w:p>
    <w:p>
      <w:pPr>
        <w:spacing w:after="240" w:before="480"/>
      </w:pPr>
      <w:r>
        <w:rPr>
          <w:rFonts w:ascii="Arial" w:cs="Arial" w:eastAsia="Arial" w:hAnsi="Arial"/>
          <w:b/>
          <w:bCs/>
          <w:color w:val="1F4E78"/>
          <w:sz w:val="36"/>
          <w:szCs w:val="36"/>
        </w:rPr>
        <w:t>v3.6.2 is a small organizational patch that moves the GUI support files into a dedicated 00_GUI_Files folder at the package root, reducing root-directory clutter. The motivation is package cleanliness: the root directory previously contained the GUI support files alongside the deployment bundle files, package-internal documentation, and audit infrastructure, producing a moderately cluttered root listing. v3.6.2 organizes the GUI support files into a clearly-named folder while leaving platform_index.html at the package root where users naturally look for the entry point.</w:t>
      </w:r>
    </w:p>
    <w:p>
      <w:pPr>
        <w:spacing w:after="240" w:before="480"/>
      </w:pPr>
      <w:r>
        <w:rPr>
          <w:rFonts w:ascii="Arial" w:cs="Arial" w:eastAsia="Arial" w:hAnsi="Arial"/>
          <w:b/>
          <w:bCs/>
          <w:color w:val="1F4E78"/>
          <w:sz w:val="36"/>
          <w:szCs w:val="36"/>
        </w:rPr>
        <w:t>Files moved</w:t>
      </w:r>
    </w:p>
    <w:p>
      <w:pPr>
        <w:spacing w:after="240" w:before="480"/>
      </w:pPr>
      <w:r>
        <w:rPr>
          <w:rFonts w:ascii="Arial" w:cs="Arial" w:eastAsia="Arial" w:hAnsi="Arial"/>
          <w:b/>
          <w:bCs/>
          <w:color w:val="1F4E78"/>
          <w:sz w:val="36"/>
          <w:szCs w:val="36"/>
        </w:rPr>
        <w:t>Three files moved from package root to the new 00_GUI_Files folder: platform_catalog.js (the catalog data the GUI loads via script tag); platform_catalog.json (the same data in JSON format for programmatic access); and platform_index_README.md (the GUI's documentation). The folder is named with the 00 prefix to position it alphabetically before 01_Start_Here, signaling that the GUI is the canonical entry point for users navigating the package.</w:t>
      </w:r>
    </w:p>
    <w:p>
      <w:pPr>
        <w:spacing w:after="240" w:before="480"/>
      </w:pPr>
      <w:r>
        <w:rPr>
          <w:rFonts w:ascii="Arial" w:cs="Arial" w:eastAsia="Arial" w:hAnsi="Arial"/>
          <w:b/>
          <w:bCs/>
          <w:color w:val="1F4E78"/>
          <w:sz w:val="36"/>
          <w:szCs w:val="36"/>
        </w:rPr>
        <w:t>Files NOT moved</w:t>
      </w:r>
    </w:p>
    <w:p>
      <w:pPr>
        <w:spacing w:after="240" w:before="480"/>
      </w:pPr>
      <w:r>
        <w:rPr>
          <w:rFonts w:ascii="Arial" w:cs="Arial" w:eastAsia="Arial" w:hAnsi="Arial"/>
          <w:b/>
          <w:bCs/>
          <w:color w:val="1F4E78"/>
          <w:sz w:val="36"/>
          <w:szCs w:val="36"/>
        </w:rPr>
        <w:t>The deployment bundle files added in v3.3.1 (lead_author_bio.md, disclosure.md, the four citation files, LICENSE.md, README_PUBLIC.md, and domain_candidates.md) remain at the package root. These files are deployment artifacts intended for the public-facing site's root URL when the platform is published via Milestone B1; their internal references in README_PUBLIC.md assume site-root paths. Moving them to 00_GUI_Files would require updating those internal references and would imply a different deployment structure than the v3.3.1 design assumed. The deployment bundle files therefore stay at the package root for now; future iterations can revisit if the deployment structure preference changes.</w:t>
      </w:r>
    </w:p>
    <w:p>
      <w:pPr>
        <w:spacing w:after="240" w:before="480"/>
      </w:pPr>
      <w:r>
        <w:rPr>
          <w:rFonts w:ascii="Arial" w:cs="Arial" w:eastAsia="Arial" w:hAnsi="Arial"/>
          <w:b/>
          <w:bCs/>
          <w:color w:val="1F4E78"/>
          <w:sz w:val="36"/>
          <w:szCs w:val="36"/>
        </w:rPr>
        <w:t>Code changes</w:t>
      </w:r>
    </w:p>
    <w:p>
      <w:pPr>
        <w:spacing w:after="240" w:before="480"/>
      </w:pPr>
      <w:r>
        <w:rPr>
          <w:rFonts w:ascii="Arial" w:cs="Arial" w:eastAsia="Arial" w:hAnsi="Arial"/>
          <w:b/>
          <w:bCs/>
          <w:color w:val="1F4E78"/>
          <w:sz w:val="36"/>
          <w:szCs w:val="36"/>
        </w:rPr>
        <w:t>platform_index.html script tag updated from src equals platform_catalog dot js to src equals 00_GUI_Files slash platform_catalog dot js. A reference comment in the bootstrap function was similarly updated. The catalog data itself was not modified; the document paths within the catalog remain relative to platform_index.html (the consumer file) which is still at root, so those paths continue to work without modification. The platform_index_README.md was updated to reflect the new file layout (Files table now shows file location column; Installation section explains the new layout) and to update stale document count and pillar count references that had not been kept current across recent iterations.</w:t>
      </w:r>
    </w:p>
    <w:p>
      <w:pPr>
        <w:spacing w:after="240" w:before="480"/>
      </w:pPr>
      <w:r>
        <w:rPr>
          <w:rFonts w:ascii="Arial" w:cs="Arial" w:eastAsia="Arial" w:hAnsi="Arial"/>
          <w:b/>
          <w:bCs/>
          <w:color w:val="1F4E78"/>
          <w:sz w:val="36"/>
          <w:szCs w:val="36"/>
        </w:rPr>
        <w:t>What v3.6.2 does NOT change</w:t>
      </w:r>
    </w:p>
    <w:p>
      <w:pPr>
        <w:spacing w:after="240" w:before="480"/>
      </w:pPr>
      <w:r>
        <w:rPr>
          <w:rFonts w:ascii="Arial" w:cs="Arial" w:eastAsia="Arial" w:hAnsi="Arial"/>
          <w:b/>
          <w:bCs/>
          <w:color w:val="1F4E78"/>
          <w:sz w:val="36"/>
          <w:szCs w:val="36"/>
        </w:rPr>
        <w:t>The GUI behavior is unchanged: same embedded viewer, same search, same filters, same views. The platform's analytical content is unchanged. All twelve pillars unchanged. The Open Issues Registry tracking is unchanged (Section 47 still 64 Y / 0 N). The audit infrastructure is unchanged. The calculator is unchanged. The deployment bundle is unchanged in content (just unmoved). v3.6.2 is purely a file-organization patch.</w:t>
      </w:r>
    </w:p>
    <w:p>
      <w:pPr>
        <w:spacing w:after="240" w:before="480"/>
      </w:pPr>
      <w:r>
        <w:rPr>
          <w:rFonts w:ascii="Arial" w:cs="Arial" w:eastAsia="Arial" w:hAnsi="Arial"/>
          <w:b/>
          <w:bCs/>
          <w:color w:val="1F4E78"/>
          <w:sz w:val="36"/>
          <w:szCs w:val="36"/>
        </w:rPr>
        <w:t>Manifest and TOC</w:t>
      </w:r>
    </w:p>
    <w:p>
      <w:pPr>
        <w:spacing w:after="240" w:before="480"/>
      </w:pPr>
      <w:r>
        <w:rPr>
          <w:rFonts w:ascii="Arial" w:cs="Arial" w:eastAsia="Arial" w:hAnsi="Arial"/>
          <w:b/>
          <w:bCs/>
          <w:color w:val="1F4E78"/>
          <w:sz w:val="36"/>
          <w:szCs w:val="36"/>
        </w:rPr>
        <w:t>v3.6.2 does not modify the document manifest or the platform TOC because the GUI support files are at the package root rather than in the analytical-content folders that the manifest tracks; the PV doc count claim of ninety-eight documents and models is unchanged for the same reason. The 00_GUI_Files folder appears in the directory listing but is not analytical-content tracked.</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none, because v3.6.2 modifies only the GUI files which are not tracked by manifest, TOC, or Section 47 audit operations. Audit count should be unchanged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v3.6.2 is the sixty-second consecutive clean current-iteration narrative produced under the abstracted-language auto-check discipline. The four-phase cycle proceeded normally: Phase 1 audit was clean baseline at v3.6.1; Phase 2 created the 00_GUI_Files folder, moved three files into it, and updated the platform_index.html script reference; Phase 3 verified clean state across all sixteen audit operations; Phase 4 documents the iteration here.</w:t>
      </w:r>
    </w:p>
    <w:p>
      <w:pPr>
        <w:pStyle w:val="Heading1"/>
      </w:pPr>
      <w:r>
        <w:t>Section 106: v3.6.3 Package Reorganization (platform_index.html into Start Here; Deployment Bundle into Dedicated Folder)</w:t>
      </w:r>
    </w:p>
    <w:p>
      <w:pPr>
        <w:spacing w:after="240" w:before="480"/>
      </w:pPr>
      <w:r>
        <w:rPr>
          <w:rFonts w:ascii="Arial" w:cs="Arial" w:eastAsia="Arial" w:hAnsi="Arial"/>
          <w:b/>
          <w:bCs/>
          <w:color w:val="1F4E78"/>
          <w:sz w:val="36"/>
          <w:szCs w:val="36"/>
        </w:rPr>
        <w:t>v3.6.3 is an organizational patch that completes the package reorganization started in v3.6.2 by moving the platform GUI entry point into the Start Here folder where users naturally look for the canonical entry points to the platform, and by moving the deployment bundle files into a dedicated 00_Deployment_Bundle folder so the package root is clean. The motivation continues the v3.6.2 cleanliness effort: package root previously contained the deployment bundle alongside package internals and the GUI entry point, producing a cluttered root listing that was difficult to navigate.</w:t>
      </w:r>
    </w:p>
    <w:p>
      <w:pPr>
        <w:spacing w:after="240" w:before="480"/>
      </w:pPr>
      <w:r>
        <w:rPr>
          <w:rFonts w:ascii="Arial" w:cs="Arial" w:eastAsia="Arial" w:hAnsi="Arial"/>
          <w:b/>
          <w:bCs/>
          <w:color w:val="1F4E78"/>
          <w:sz w:val="36"/>
          <w:szCs w:val="36"/>
        </w:rPr>
        <w:t>Files moved</w:t>
      </w:r>
    </w:p>
    <w:p>
      <w:pPr>
        <w:spacing w:after="240" w:before="480"/>
      </w:pPr>
      <w:r>
        <w:rPr>
          <w:rFonts w:ascii="Arial" w:cs="Arial" w:eastAsia="Arial" w:hAnsi="Arial"/>
          <w:b/>
          <w:bCs/>
          <w:color w:val="1F4E78"/>
          <w:sz w:val="36"/>
          <w:szCs w:val="36"/>
        </w:rPr>
        <w:t>platform_index.html moved from package root to 01_Start_Here folder. The Start Here folder now contains three items: the existing Platform Package Version manifest document, the existing Platform Package TOC, and the GUI entry point. Naming convention puts these alphabetically: 01_Platform_Package_TOC, 01_Platform_Package_Version, then platform_index. Deployment bundle moved from package root to 00_Deployment_Bundle folder: nine files including the lead author bio, the disclosure page, four citation files in BibTeX, RIS, APA, and Chicago formats, the license declaration, the public-facing site README, and the domain candidates analysis.</w:t>
      </w:r>
    </w:p>
    <w:p>
      <w:pPr>
        <w:spacing w:after="240" w:before="480"/>
      </w:pPr>
      <w:r>
        <w:rPr>
          <w:rFonts w:ascii="Arial" w:cs="Arial" w:eastAsia="Arial" w:hAnsi="Arial"/>
          <w:b/>
          <w:bCs/>
          <w:color w:val="1F4E78"/>
          <w:sz w:val="36"/>
          <w:szCs w:val="36"/>
        </w:rPr>
        <w:t>Path updates in platform_index.html</w:t>
      </w:r>
    </w:p>
    <w:p>
      <w:pPr>
        <w:spacing w:after="240" w:before="480"/>
      </w:pPr>
      <w:r>
        <w:rPr>
          <w:rFonts w:ascii="Arial" w:cs="Arial" w:eastAsia="Arial" w:hAnsi="Arial"/>
          <w:b/>
          <w:bCs/>
          <w:color w:val="1F4E78"/>
          <w:sz w:val="36"/>
          <w:szCs w:val="36"/>
        </w:rPr>
        <w:t>Four path updates in the GUI to support the new location. First: the script tag that loads the catalog data updated from src equals 00_GUI_Files slash platform_catalog.js to src equals dot dot slash 00_GUI_Files slash platform_catalog.js (relative path navigates up one level to package root, then into the GUI Files folder). Second: a comment in the bootstrap function that references the catalog script tag was similarly updated. Third: the Source Folder link that opens the package root in the browser updated from href equals dot slash to href equals dot dot slash. Fourth: the JavaScript that constructs document card hrefs now prefixes paths with dot dot slash at render time, so catalog data remains root-relative (which the audit script's path validation expects) while the GUI rendered hrefs are relative to the GUI's actual location in 01_Start_Here. Click handler and viewer renderers automatically inherit the prefix because they read href from the rendered card element.</w:t>
      </w:r>
    </w:p>
    <w:p>
      <w:pPr>
        <w:spacing w:after="240" w:before="480"/>
      </w:pPr>
      <w:r>
        <w:rPr>
          <w:rFonts w:ascii="Arial" w:cs="Arial" w:eastAsia="Arial" w:hAnsi="Arial"/>
          <w:b/>
          <w:bCs/>
          <w:color w:val="1F4E78"/>
          <w:sz w:val="36"/>
          <w:szCs w:val="36"/>
        </w:rPr>
        <w:t>Final package root structure</w:t>
      </w:r>
    </w:p>
    <w:p>
      <w:pPr>
        <w:spacing w:after="240" w:before="480"/>
      </w:pPr>
      <w:r>
        <w:rPr>
          <w:rFonts w:ascii="Arial" w:cs="Arial" w:eastAsia="Arial" w:hAnsi="Arial"/>
          <w:b/>
          <w:bCs/>
          <w:color w:val="1F4E78"/>
          <w:sz w:val="36"/>
          <w:szCs w:val="36"/>
        </w:rPr>
        <w:t>Package root after v3.6.3: four metadata files (README.txt, VERSIONLOG.txt, audit_script.py, audit_whitelist.txt) plus nine structured folders (00_Deployment_Bundle for deployment artifacts, 00_GUI_Files for GUI support files, 01_Start_Here for navigation entry points including the platform GUI, then 02_Vision_and_Communication, 03_Technical_White_Papers, 04_Mathematical_Models, 05_Analytical_Framing, 06_Presentation_Materials, and 07_External_Reviews). The 00_Deployment_Bundle and 00_GUI_Files folders use the 00 prefix to position them alphabetically before 01_Start_Here, which is appropriate because users do not navigate directly into either folder when working with the platform; they are deployment artifacts and GUI infrastructure rather than primary content.</w:t>
      </w:r>
    </w:p>
    <w:p>
      <w:pPr>
        <w:spacing w:after="240" w:before="480"/>
      </w:pPr>
      <w:r>
        <w:rPr>
          <w:rFonts w:ascii="Arial" w:cs="Arial" w:eastAsia="Arial" w:hAnsi="Arial"/>
          <w:b/>
          <w:bCs/>
          <w:color w:val="1F4E78"/>
          <w:sz w:val="36"/>
          <w:szCs w:val="36"/>
        </w:rPr>
        <w:t>What v3.6.3 does NOT change</w:t>
      </w:r>
    </w:p>
    <w:p>
      <w:pPr>
        <w:spacing w:after="240" w:before="480"/>
      </w:pPr>
      <w:r>
        <w:rPr>
          <w:rFonts w:ascii="Arial" w:cs="Arial" w:eastAsia="Arial" w:hAnsi="Arial"/>
          <w:b/>
          <w:bCs/>
          <w:color w:val="1F4E78"/>
          <w:sz w:val="36"/>
          <w:szCs w:val="36"/>
        </w:rPr>
        <w:t>The platform's analytical content is unchanged. All twelve pillars unchanged. The Open Issues Registry tracking is unchanged (Section 47 still 64 Y / 0 N). The audit infrastructure is unchanged. The calculator is unchanged. The deployment bundle files are unchanged in content (just relocated). The GUI behavior is unchanged: same embedded viewer, same search, same filters, same views. The catalog data is unchanged: paths in catalog remain root-relative; the GUI prefixes them at render time. The audit infrastructure is unchanged.</w:t>
      </w:r>
    </w:p>
    <w:p>
      <w:pPr>
        <w:spacing w:after="240" w:before="480"/>
      </w:pPr>
      <w:r>
        <w:rPr>
          <w:rFonts w:ascii="Arial" w:cs="Arial" w:eastAsia="Arial" w:hAnsi="Arial"/>
          <w:b/>
          <w:bCs/>
          <w:color w:val="1F4E78"/>
          <w:sz w:val="36"/>
          <w:szCs w:val="36"/>
        </w:rPr>
        <w:t>Note on README_PUBLIC.md path references</w:t>
      </w:r>
    </w:p>
    <w:p>
      <w:pPr>
        <w:spacing w:after="240" w:before="480"/>
      </w:pPr>
      <w:r>
        <w:rPr>
          <w:rFonts w:ascii="Arial" w:cs="Arial" w:eastAsia="Arial" w:hAnsi="Arial"/>
          <w:b/>
          <w:bCs/>
          <w:color w:val="1F4E78"/>
          <w:sz w:val="36"/>
          <w:szCs w:val="36"/>
        </w:rPr>
        <w:t>The README_PUBLIC.md file in 00_Deployment_Bundle contains internal references like dot slash platform_index.html and dot slash 05_Analytical_Framing slash and so on. These references are deployment-site relative, not package relative: they assume the public deployment lays files out at site root with platform_index.html and the analytical-content folders all directly accessible. When the package is deployed via Milestone B1, the lead author will arrange files at the deployment site root such that these references resolve correctly. Within the package itself, the references would not resolve from the 00_Deployment_Bundle folder; this is acceptable because README_PUBLIC.md is intended for deployment-site use, not for in-package navigation.</w:t>
      </w:r>
    </w:p>
    <w:p>
      <w:pPr>
        <w:spacing w:after="240" w:before="480"/>
      </w:pPr>
      <w:r>
        <w:rPr>
          <w:rFonts w:ascii="Arial" w:cs="Arial" w:eastAsia="Arial" w:hAnsi="Arial"/>
          <w:b/>
          <w:bCs/>
          <w:color w:val="1F4E78"/>
          <w:sz w:val="36"/>
          <w:szCs w:val="36"/>
        </w:rPr>
        <w:t>Manifest and TOC</w:t>
      </w:r>
    </w:p>
    <w:p>
      <w:pPr>
        <w:spacing w:after="240" w:before="480"/>
      </w:pPr>
      <w:r>
        <w:rPr>
          <w:rFonts w:ascii="Arial" w:cs="Arial" w:eastAsia="Arial" w:hAnsi="Arial"/>
          <w:b/>
          <w:bCs/>
          <w:color w:val="1F4E78"/>
          <w:sz w:val="36"/>
          <w:szCs w:val="36"/>
        </w:rPr>
        <w:t>v3.6.3 does not modify the document manifest, the platform TOC, or the PV doc count claim. Manifest entries reference files by path within the analytical-content folders (which are unchanged); the deployment bundle files and GUI support files are not manifest-tracked because they are not analytical content.</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none, because v3.6.3 modifies only file locations and GUI paths which are not tracked by manifest, TOC, or Section 47 audit operations. Audit count should be unchanged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v3.6.3 is the sixty-third consecutive clean current-iteration narrative produced under the abstracted-language auto-check discipline. The four-phase cycle proceeded normally: Phase 1 audit was clean baseline at v3.6.2; Phase 2 created the 00_Deployment_Bundle folder, moved nine deployment bundle files into it, moved platform_index.html into 01_Start_Here, and updated four path references in the GUI; Phase 3 verified clean state across all sixteen audit operations; Phase 4 documents the iteration here.</w:t>
      </w:r>
    </w:p>
    <w:p>
      <w:pPr>
        <w:pStyle w:val="Heading1"/>
      </w:pPr>
      <w:r>
        <w:t>Section 107: v3.7.0 Slideshow Option A (Light Update; Twelve Pillars)</w:t>
      </w:r>
    </w:p>
    <w:p>
      <w:pPr>
        <w:spacing w:after="240" w:before="480"/>
      </w:pPr>
      <w:r>
        <w:rPr>
          <w:rFonts w:ascii="Arial" w:cs="Arial" w:eastAsia="Arial" w:hAnsi="Arial"/>
          <w:b/>
          <w:bCs/>
          <w:color w:val="1F4E78"/>
          <w:sz w:val="36"/>
          <w:szCs w:val="36"/>
        </w:rPr>
        <w:t>v3.7.0 is the first of three planned slideshow update iterations produced as alternatives for comparison per Jason's request to see Options A, B, and C side by side before committing to one. Option A is a light update to the existing sixteen-slide overview slideshow that adds coverage for the four pillars added in 2026 (Universal Long-Term Care in v3.3.0; Federal Housing Investment in v3.4.0; Climate Architecture in v3.5.0; Immigration Architecture in v3.6.0) while preserving the original deck structure and framing intact. The original deck remains in place at the original filename for comparison; Option A is added as a separate file.</w:t>
      </w:r>
    </w:p>
    <w:p>
      <w:pPr>
        <w:spacing w:after="240" w:before="480"/>
      </w:pPr>
      <w:r>
        <w:rPr>
          <w:rFonts w:ascii="Arial" w:cs="Arial" w:eastAsia="Arial" w:hAnsi="Arial"/>
          <w:b/>
          <w:bCs/>
          <w:color w:val="1F4E78"/>
          <w:sz w:val="36"/>
          <w:szCs w:val="36"/>
        </w:rPr>
        <w:t>Design choices in Option A</w:t>
      </w:r>
    </w:p>
    <w:p>
      <w:pPr>
        <w:spacing w:after="240" w:before="480"/>
      </w:pPr>
      <w:r>
        <w:rPr>
          <w:rFonts w:ascii="Arial" w:cs="Arial" w:eastAsia="Arial" w:hAnsi="Arial"/>
          <w:b/>
          <w:bCs/>
          <w:color w:val="1F4E78"/>
          <w:sz w:val="36"/>
          <w:szCs w:val="36"/>
        </w:rPr>
        <w:t>First: the original three-problems-share-one-solution framing on slide three is preserved as the original analytical insight that originated the platform architecture; only the bottom caption is extended to acknowledge the architecture extends to nine more pillars in the full platform. Second: a single new slide nine is inserted between the existing adjacent pillars overview (slide eight) and the AI workforce slide (formerly slide nine, now slide ten), titled Four more pillars added in 2026, covering Pillars Nine through Twelve in the same two-by-two grid layout as slide eight. The new slide subtitle acknowledges that Pillar Eight (Universal Paid Family Time) joined the adjacent pillars previously, accounting for the deck's prior coverage of seven pillars only. Third: page number footers in slides ten through seventeen are updated to reflect the inserted slide. Fourth: the Going Deeper TOC slide is lightly updated: Adjacent Pillars entry becomes Adjacent Pillars (P4 through P12); the technical and models entry for adjacent pillar substantiation docs expands to include LTC, Housing, Climate, Immigration.</w:t>
      </w:r>
    </w:p>
    <w:p>
      <w:pPr>
        <w:spacing w:after="240" w:before="480"/>
      </w:pPr>
      <w:r>
        <w:rPr>
          <w:rFonts w:ascii="Arial" w:cs="Arial" w:eastAsia="Arial" w:hAnsi="Arial"/>
          <w:b/>
          <w:bCs/>
          <w:color w:val="1F4E78"/>
          <w:sz w:val="36"/>
          <w:szCs w:val="36"/>
        </w:rPr>
        <w:t>Honest treatment of new revenue mechanisms</w:t>
      </w:r>
    </w:p>
    <w:p>
      <w:pPr>
        <w:spacing w:after="240" w:before="480"/>
      </w:pPr>
      <w:r>
        <w:rPr>
          <w:rFonts w:ascii="Arial" w:cs="Arial" w:eastAsia="Arial" w:hAnsi="Arial"/>
          <w:b/>
          <w:bCs/>
          <w:color w:val="1F4E78"/>
          <w:sz w:val="36"/>
          <w:szCs w:val="36"/>
        </w:rPr>
        <w:t>Per Jason's substantive question about new taxes in the added pillars, the new slide nine includes honest treatment of the two added pillars that introduce new revenue mechanisms: the Long-Term Care entry explicitly states funding by zero-point-six percent employer plus zero-point-four percent worker payroll (matching the format of the existing Childcare entry on slide eight); the Climate Architecture entry explicitly states upstream carbon price fifty dollars per ton rising to one hundred dollars per ton with the fifty-fifty dividend-investment recycling. Pillar Ten (Federal Housing Investment) and Pillar Twelve (Immigration Architecture) entries do not introduce new revenue mechanisms and the entries reflect this (Pillar Ten funded by general revenue from high-earner architecture; Pillar Twelve described with positive net fiscal impact framing per CBO scoring of comparable proposals).</w:t>
      </w:r>
    </w:p>
    <w:p>
      <w:pPr>
        <w:spacing w:after="240" w:before="480"/>
      </w:pPr>
      <w:r>
        <w:rPr>
          <w:rFonts w:ascii="Arial" w:cs="Arial" w:eastAsia="Arial" w:hAnsi="Arial"/>
          <w:b/>
          <w:bCs/>
          <w:color w:val="1F4E78"/>
          <w:sz w:val="36"/>
          <w:szCs w:val="36"/>
        </w:rPr>
        <w:t>Files added</w:t>
      </w:r>
    </w:p>
    <w:p>
      <w:pPr>
        <w:spacing w:after="240" w:before="480"/>
      </w:pPr>
      <w:r>
        <w:rPr>
          <w:rFonts w:ascii="Arial" w:cs="Arial" w:eastAsia="Arial" w:hAnsi="Arial"/>
          <w:b/>
          <w:bCs/>
          <w:color w:val="1F4E78"/>
          <w:sz w:val="36"/>
          <w:szCs w:val="36"/>
        </w:rPr>
        <w:t>Two new files in the Presentation Materials folder: the Option A pptx (06_We_The_People_Overview_OptionA_Light.pptx) and the matching PDF export (06_We_The_People_Overview_OptionA_Light.pdf). Manifest entry added as one combined slideshow entry per existing convention (the original slideshow is also tracked as one entry covering both pptx and pdf together). TOC entry added as entry one hundred. The original 06_We_The_People_Overview pptx and pdf files are unchanged.</w:t>
      </w:r>
    </w:p>
    <w:p>
      <w:pPr>
        <w:spacing w:after="240" w:before="480"/>
      </w:pPr>
      <w:r>
        <w:rPr>
          <w:rFonts w:ascii="Arial" w:cs="Arial" w:eastAsia="Arial" w:hAnsi="Arial"/>
          <w:b/>
          <w:bCs/>
          <w:color w:val="1F4E78"/>
          <w:sz w:val="36"/>
          <w:szCs w:val="36"/>
        </w:rPr>
        <w:t>Stats kept stable per directive</w:t>
      </w:r>
    </w:p>
    <w:p>
      <w:pPr>
        <w:spacing w:after="240" w:before="480"/>
      </w:pPr>
      <w:r>
        <w:rPr>
          <w:rFonts w:ascii="Arial" w:cs="Arial" w:eastAsia="Arial" w:hAnsi="Arial"/>
          <w:b/>
          <w:bCs/>
          <w:color w:val="1F4E78"/>
          <w:sz w:val="36"/>
          <w:szCs w:val="36"/>
        </w:rPr>
        <w:t>Per Jason's directive to keep statistics stable for now, no existing stats in the deck were updated. The new slide nine uses stats from the platform's analytical-content documents for the added pillars; existing slide stats (Pillar One sovereign fund balance, Pillar Three free college achievable at maturity, slide eight median family savings figures, slide ten direct fraud losses prevented, slide twelve founding stake amount, slide fourteen demonstration thresholds) remain unchanged. Updating aggregate stats to reflect the full twelve-pillar architecture is deferred until after Jason picks one of Options A, B, or C; stats updates would be a separate iteration.</w:t>
      </w:r>
    </w:p>
    <w:p>
      <w:pPr>
        <w:spacing w:after="240" w:before="480"/>
      </w:pPr>
      <w:r>
        <w:rPr>
          <w:rFonts w:ascii="Arial" w:cs="Arial" w:eastAsia="Arial" w:hAnsi="Arial"/>
          <w:b/>
          <w:bCs/>
          <w:color w:val="1F4E78"/>
          <w:sz w:val="36"/>
          <w:szCs w:val="36"/>
        </w:rPr>
        <w:t>What v3.7.0 does NOT change</w:t>
      </w:r>
    </w:p>
    <w:p>
      <w:pPr>
        <w:spacing w:after="240" w:before="480"/>
      </w:pPr>
      <w:r>
        <w:rPr>
          <w:rFonts w:ascii="Arial" w:cs="Arial" w:eastAsia="Arial" w:hAnsi="Arial"/>
          <w:b/>
          <w:bCs/>
          <w:color w:val="1F4E78"/>
          <w:sz w:val="36"/>
          <w:szCs w:val="36"/>
        </w:rPr>
        <w:t>The platform's analytical content is unchanged. All twelve pillars unchanged. The Open Issues Registry tracking is unchanged (Section 47 still 64 Y / 0 N). The audit infrastructure is unchanged. The calculator is unchanged. The original slideshow (the original Platform Overview deck file (pptx) and PDF) is unchanged for comparison purposes.</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manifest entry needed for the new slideshow file (added); TOC entry needed (added); PV doc count claim needs to bump from ninety-eight to ninety-nine (added). All catches resolved in standard manifest-and-TOC update sequence. Audit count expected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v3.7.0 is the sixty-fourth consecutive clean current-iteration narrative produced under the abstracted-language auto-check discipline. The four-phase cycle proceeded normally: Phase 1 audit was clean baseline at v3.6.3; Phase 2 used the pptx skill to unpack the source slideshow, duplicate slide eight using the add slide script, edit content for Pillars Nine through Twelve, update slide three forward reference, update slide sixteen TOC, renumber footers, run clean script, pack output via pack script with original source for fidelity, generate PDF via headless soffice, generate slide images via pdftoppm for visual QA, verify cleanliness with view tool inspection of slides three, eight, nine, ten, and seventeen; Phase 3 verified clean state across all sixteen audit operations; Phase 4 documents the iteration here. Options B and C are planned as v3.7.1 and v3.7.2 in subsequent iterations.</w:t>
      </w:r>
    </w:p>
    <w:p>
      <w:pPr>
        <w:pStyle w:val="Heading1"/>
      </w:pPr>
      <w:r>
        <w:t>Section 108: v3.7.1 Slideshow Option B (Medium Restructure; Twelve Pillars by Funding Architecture)</w:t>
      </w:r>
    </w:p>
    <w:p>
      <w:pPr>
        <w:spacing w:after="240" w:before="480"/>
      </w:pPr>
      <w:r>
        <w:rPr>
          <w:rFonts w:ascii="Arial" w:cs="Arial" w:eastAsia="Arial" w:hAnsi="Arial"/>
          <w:b/>
          <w:bCs/>
          <w:color w:val="1F4E78"/>
          <w:sz w:val="36"/>
          <w:szCs w:val="36"/>
        </w:rPr>
        <w:t>v3.7.1 is the second of three planned slideshow update iterations. Option B is a medium restructure that reorganizes the deck around the twelve-pillar architecture grouped by funding mechanism, while preserving the original three-problems-share-one-solution framing and the original three primary pillars detail (slides four through six). The key restructure is replacing the original slide eight (Beyond the three primary pillars, which covered four adjacent pillars) with three new slides that cover all twelve pillars organized by funding architecture.</w:t>
      </w:r>
    </w:p>
    <w:p>
      <w:pPr>
        <w:spacing w:after="240" w:before="480"/>
      </w:pPr>
      <w:r>
        <w:rPr>
          <w:rFonts w:ascii="Arial" w:cs="Arial" w:eastAsia="Arial" w:hAnsi="Arial"/>
          <w:b/>
          <w:bCs/>
          <w:color w:val="1F4E78"/>
          <w:sz w:val="36"/>
          <w:szCs w:val="36"/>
        </w:rPr>
        <w:t>Restructure design</w:t>
      </w:r>
    </w:p>
    <w:p>
      <w:pPr>
        <w:spacing w:after="240" w:before="480"/>
      </w:pPr>
      <w:r>
        <w:rPr>
          <w:rFonts w:ascii="Arial" w:cs="Arial" w:eastAsia="Arial" w:hAnsi="Arial"/>
          <w:b/>
          <w:bCs/>
          <w:color w:val="1F4E78"/>
          <w:sz w:val="36"/>
          <w:szCs w:val="36"/>
        </w:rPr>
        <w:t>Slides one through seven preserved unchanged from the original deck (cover, hook, three-problems-share-one-solution principles slide with light caption refinement, three primary pillars detail, reinforcement). New slide eight titled The same architecture, extended is the twelve-pillar overview organized by funding category: cell one is the three primary pillars (sovereign fund plus high-earner architecture plus tax architecture); cell two is the five payroll-funded adjacent pillars (~9.5 percent combined payroll); cell three is the Federal Infrastructure Fee (Pillar Seven Civic Infrastructure); cell four is the three non-payroll mechanisms (Pillars Ten, Eleven, Twelve). New slide nine titled Five payroll-funded adjacent pillars covers Pillars Four through Six plus Eight plus Nine in the slide-eight 2x2 layout: Universal Healthcare, Universal Childcare, combined Mental Health plus Paid Family Time (combined into one cell to fit five pillars in four cells), Universal Long-Term Care. New slide ten titled Beyond payroll covers Pillars Seven, Ten, Eleven, Twelve in 2x2 layout: Civic Infrastructure with Federal Infrastructure Fee, Federal Housing Investment with general revenue, Climate Architecture with carbon price, Immigration Architecture with general revenue plus user fees. Original slide nine through sixteen preserved as slides eleven through eighteen (renumbered).</w:t>
      </w:r>
    </w:p>
    <w:p>
      <w:pPr>
        <w:spacing w:after="240" w:before="480"/>
      </w:pPr>
      <w:r>
        <w:rPr>
          <w:rFonts w:ascii="Arial" w:cs="Arial" w:eastAsia="Arial" w:hAnsi="Arial"/>
          <w:b/>
          <w:bCs/>
          <w:color w:val="1F4E78"/>
          <w:sz w:val="36"/>
          <w:szCs w:val="36"/>
        </w:rPr>
        <w:t>Layout compromise note</w:t>
      </w:r>
    </w:p>
    <w:p>
      <w:pPr>
        <w:spacing w:after="240" w:before="480"/>
      </w:pPr>
      <w:r>
        <w:rPr>
          <w:rFonts w:ascii="Arial" w:cs="Arial" w:eastAsia="Arial" w:hAnsi="Arial"/>
          <w:b/>
          <w:bCs/>
          <w:color w:val="1F4E78"/>
          <w:sz w:val="36"/>
          <w:szCs w:val="36"/>
        </w:rPr>
        <w:t>The slide-eight 2x2 template constraint required combining Mental Health (Pillar Six) and Paid Family Time (Pillar Eight) into one cell on slide nine to fit five payroll-funded pillars into four boxes. This is a known compromise; Option C will explore alternative layouts. The combination is reasonable narratively (both pillars relate to mental and emotional family wellbeing in different ways) and reflects honest accounting (combined 1.2 percent payroll for both pillars together).</w:t>
      </w:r>
    </w:p>
    <w:p>
      <w:pPr>
        <w:spacing w:after="240" w:before="480"/>
      </w:pPr>
      <w:r>
        <w:rPr>
          <w:rFonts w:ascii="Arial" w:cs="Arial" w:eastAsia="Arial" w:hAnsi="Arial"/>
          <w:b/>
          <w:bCs/>
          <w:color w:val="1F4E78"/>
          <w:sz w:val="36"/>
          <w:szCs w:val="36"/>
        </w:rPr>
        <w:t>Honest treatment of new revenue mechanisms</w:t>
      </w:r>
    </w:p>
    <w:p>
      <w:pPr>
        <w:spacing w:after="240" w:before="480"/>
      </w:pPr>
      <w:r>
        <w:rPr>
          <w:rFonts w:ascii="Arial" w:cs="Arial" w:eastAsia="Arial" w:hAnsi="Arial"/>
          <w:b/>
          <w:bCs/>
          <w:color w:val="1F4E78"/>
          <w:sz w:val="36"/>
          <w:szCs w:val="36"/>
        </w:rPr>
        <w:t>Per Jason's substantive question about new tax mechanisms, Option B explicitly states funding for each pillar: payroll percentages for Pillars Four through Six, Eight, Nine on slide nine; Federal Infrastructure Fee for Pillar Seven on slide ten; general revenue from high-earner architecture for Pillar Ten on slide ten; carbon price for Pillar Eleven on slide ten; general revenue plus user fees for Pillar Twelve on slide ten. The funding-architecture framing throughout Option B makes the revenue mechanisms explicit rather than implicit.</w:t>
      </w:r>
    </w:p>
    <w:p>
      <w:pPr>
        <w:spacing w:after="240" w:before="480"/>
      </w:pPr>
      <w:r>
        <w:rPr>
          <w:rFonts w:ascii="Arial" w:cs="Arial" w:eastAsia="Arial" w:hAnsi="Arial"/>
          <w:b/>
          <w:bCs/>
          <w:color w:val="1F4E78"/>
          <w:sz w:val="36"/>
          <w:szCs w:val="36"/>
        </w:rPr>
        <w:t>Original deck preserved for comparison</w:t>
      </w:r>
    </w:p>
    <w:p>
      <w:pPr>
        <w:spacing w:after="240" w:before="480"/>
      </w:pPr>
      <w:r>
        <w:rPr>
          <w:rFonts w:ascii="Arial" w:cs="Arial" w:eastAsia="Arial" w:hAnsi="Arial"/>
          <w:b/>
          <w:bCs/>
          <w:color w:val="1F4E78"/>
          <w:sz w:val="36"/>
          <w:szCs w:val="36"/>
        </w:rPr>
        <w:t>The original 06_We_The_People_Overview pptx and pdf files are unchanged. The Option A files from v3.7.0 are unchanged. Option B is added as separate files (06_We_The_People_Overview_OptionB_Medium pptx and pdf). Jason can compare all three (original, Option A, Option B) plus Option C when v3.7.2 ships.</w:t>
      </w:r>
    </w:p>
    <w:p>
      <w:pPr>
        <w:spacing w:after="240" w:before="480"/>
      </w:pPr>
      <w:r>
        <w:rPr>
          <w:rFonts w:ascii="Arial" w:cs="Arial" w:eastAsia="Arial" w:hAnsi="Arial"/>
          <w:b/>
          <w:bCs/>
          <w:color w:val="1F4E78"/>
          <w:sz w:val="36"/>
          <w:szCs w:val="36"/>
        </w:rPr>
        <w:t>What v3.7.1 does NOT change</w:t>
      </w:r>
    </w:p>
    <w:p>
      <w:pPr>
        <w:spacing w:after="240" w:before="480"/>
      </w:pPr>
      <w:r>
        <w:rPr>
          <w:rFonts w:ascii="Arial" w:cs="Arial" w:eastAsia="Arial" w:hAnsi="Arial"/>
          <w:b/>
          <w:bCs/>
          <w:color w:val="1F4E78"/>
          <w:sz w:val="36"/>
          <w:szCs w:val="36"/>
        </w:rPr>
        <w:t>The platform's analytical content is unchanged. All twelve pillars unchanged. Section 47 still 64 Y / 0 N. The audit infrastructure is unchanged. The calculator is unchanged. Stats in the deck remain stable per Jason's directive. Original slideshow and Option A unchanged.</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manifest entries needed for new slideshow files (added for both pptx and pdf); TOC entries needed (added as 102 and 103); PV doc count claim unchanged at ninety-eight (pptx and pdf are not counted in DOCX plus XLSX count). All catches resolved. Audit count expected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 is the sixty-fifth consecutive clean current-iteration narrative produced under the abstracted-language auto-check discipline. The four-phase cycle proceeded normally: Phase 1 audit was clean baseline at v3.7.0; Phase 2 used pptx skill workflow to unpack the original source slideshow, duplicate slide eight three times via add slide script, replace original slide eight reference in sldIdLst with three new slide references at positions eight through ten, edit content for the three new slides, edit slide three caption, renumber footers in slides ten through fourteen and slide sixteen, run clean script (which removed orphaned original slide eight), pack via pack script with original source for fidelity, generate PDF, generate slide images for visual QA via pdftoppm, verify cleanliness with view tool inspection of slides three, eight, nine, ten; Phase 3 verified clean state across all sixteen audit operations; Phase 4 documents the iteration here. Option C is planned as v3.7.2.</w:t>
      </w:r>
    </w:p>
    <w:p>
      <w:pPr>
        <w:pStyle w:val="Heading1"/>
      </w:pPr>
      <w:r>
        <w:t>Section 109: v3.7.2 Slideshow Option C (Full Rebuild; Life-Stage Organization)</w:t>
      </w:r>
    </w:p>
    <w:p>
      <w:pPr>
        <w:spacing w:after="240" w:before="480"/>
      </w:pPr>
      <w:r>
        <w:rPr>
          <w:rFonts w:ascii="Arial" w:cs="Arial" w:eastAsia="Arial" w:hAnsi="Arial"/>
          <w:b/>
          <w:bCs/>
          <w:color w:val="1F4E78"/>
          <w:sz w:val="36"/>
          <w:szCs w:val="36"/>
        </w:rPr>
        <w:t>v3.7.2 is the third and final of three planned slideshow update iterations. Option C is the full rebuild that organizes the deck around life stages for emotional resonance, with funding-mechanism architecture as a secondary analytical slide. The three slideshow alternatives are now complete and Jason can compare Options A, B, and C alongside the unchanged original deck before picking one.</w:t>
      </w:r>
    </w:p>
    <w:p>
      <w:pPr>
        <w:spacing w:after="240" w:before="480"/>
      </w:pPr>
      <w:r>
        <w:rPr>
          <w:rFonts w:ascii="Arial" w:cs="Arial" w:eastAsia="Arial" w:hAnsi="Arial"/>
          <w:b/>
          <w:bCs/>
          <w:color w:val="1F4E78"/>
          <w:sz w:val="36"/>
          <w:szCs w:val="36"/>
        </w:rPr>
        <w:t>Restructure design</w:t>
      </w:r>
    </w:p>
    <w:p>
      <w:pPr>
        <w:spacing w:after="240" w:before="480"/>
      </w:pPr>
      <w:r>
        <w:rPr>
          <w:rFonts w:ascii="Arial" w:cs="Arial" w:eastAsia="Arial" w:hAnsi="Arial"/>
          <w:b/>
          <w:bCs/>
          <w:color w:val="1F4E78"/>
          <w:sz w:val="36"/>
          <w:szCs w:val="36"/>
        </w:rPr>
        <w:t>Slides one through seven preserved unchanged from the original deck (cover, hook, three-problems-share-one-solution principles slide with refined caption pointing to the life-cycle organization, three primary pillars detail unchanged, reinforcement narrative). The slide three caption refinement is Option C specific and different from Options A and B: rather than referencing nine more pillars in the platform, it points to how the same approach maps across the life cycle and beyond.</w:t>
      </w:r>
    </w:p>
    <w:p>
      <w:pPr>
        <w:spacing w:after="240" w:before="480"/>
      </w:pPr>
      <w:r>
        <w:rPr>
          <w:rFonts w:ascii="Arial" w:cs="Arial" w:eastAsia="Arial" w:hAnsi="Arial"/>
          <w:b/>
          <w:bCs/>
          <w:color w:val="1F4E78"/>
          <w:sz w:val="36"/>
          <w:szCs w:val="36"/>
        </w:rPr>
        <w:t>Five new slides at positions 8 through 12</w:t>
      </w:r>
    </w:p>
    <w:p>
      <w:pPr>
        <w:spacing w:after="240" w:before="480"/>
      </w:pPr>
      <w:r>
        <w:rPr>
          <w:rFonts w:ascii="Arial" w:cs="Arial" w:eastAsia="Arial" w:hAnsi="Arial"/>
          <w:b/>
          <w:bCs/>
          <w:color w:val="1F4E78"/>
          <w:sz w:val="36"/>
          <w:szCs w:val="36"/>
        </w:rPr>
        <w:t>Slide 8 is Pillars across the life cycle, an overview that maps the twelve pillars across four life-stage groupings (childhood, working age, retirement and aging, cross-cutting). Slide 9 is From the first year of life through college covering Pillars Three through Six in childhood-specific framing (pediatric care, childcare from infancy, youth mental health, education seed at birth growing to free college at eighteen). Slide 10 is From first job through career covering working-age pillars including wage floors plus education repayment combined, family care via childcare plus paid family time combined, healthcare plus mental health combined, and housing plus long-term care for aging parents combined. Slide 11 is From retirement through end of life covering Community Contribution Plan retirement income, Universal Healthcare continuity, Long-Term Care without Medicaid spend-down, and Climate dividend continuing into retirement. Slide 12 is How twelve pillars are funded, the secondary funding architecture summary covering the four funding categories (sovereign fund plus high-earner; five payroll contributions; tax architecture and fees; corrective pricing and general revenue).</w:t>
      </w:r>
    </w:p>
    <w:p>
      <w:pPr>
        <w:spacing w:after="240" w:before="480"/>
      </w:pPr>
      <w:r>
        <w:rPr>
          <w:rFonts w:ascii="Arial" w:cs="Arial" w:eastAsia="Arial" w:hAnsi="Arial"/>
          <w:b/>
          <w:bCs/>
          <w:color w:val="1F4E78"/>
          <w:sz w:val="36"/>
          <w:szCs w:val="36"/>
        </w:rPr>
        <w:t>Slides 13 through 20: original 9 through 16 renumbered</w:t>
      </w:r>
    </w:p>
    <w:p>
      <w:pPr>
        <w:spacing w:after="240" w:before="480"/>
      </w:pPr>
      <w:r>
        <w:rPr>
          <w:rFonts w:ascii="Arial" w:cs="Arial" w:eastAsia="Arial" w:hAnsi="Arial"/>
          <w:b/>
          <w:bCs/>
          <w:color w:val="1F4E78"/>
          <w:sz w:val="36"/>
          <w:szCs w:val="36"/>
        </w:rPr>
        <w:t>Original slides nine through sixteen preserved as positions thirteen through twenty (renumbered footers). Total deck length: twenty slides. Original deck plus Options A, B, and C all kept in the package for side-by-side comparison until Jason picks one and discards the others.</w:t>
      </w:r>
    </w:p>
    <w:p>
      <w:pPr>
        <w:spacing w:after="240" w:before="480"/>
      </w:pPr>
      <w:r>
        <w:rPr>
          <w:rFonts w:ascii="Arial" w:cs="Arial" w:eastAsia="Arial" w:hAnsi="Arial"/>
          <w:b/>
          <w:bCs/>
          <w:color w:val="1F4E78"/>
          <w:sz w:val="36"/>
          <w:szCs w:val="36"/>
        </w:rPr>
        <w:t>Layout compromise resolved</w:t>
      </w:r>
    </w:p>
    <w:p>
      <w:pPr>
        <w:spacing w:after="240" w:before="480"/>
      </w:pPr>
      <w:r>
        <w:rPr>
          <w:rFonts w:ascii="Arial" w:cs="Arial" w:eastAsia="Arial" w:hAnsi="Arial"/>
          <w:b/>
          <w:bCs/>
          <w:color w:val="1F4E78"/>
          <w:sz w:val="36"/>
          <w:szCs w:val="36"/>
        </w:rPr>
        <w:t>Option B's compromise of combining Pillars Six and Eight into one cell is resolved differently in Option C: working-age slide ten uses combined-pillar cells throughout (each cell covers two thematically related pillars) rather than treating one combination as exceptional. This is a deliberate Option C design choice to make the working-age slide more coherent narratively. The combined cells on slide ten are: wage floors plus education repayment (Pillars Two and Three working together for income foundation); childcare plus paid family time (Pillars Five and Eight as family care during work years); healthcare plus mental health (Pillars Four and Six as continuous care through working years); housing plus long-term care for aging parents (Pillars Nine and Ten as housing security and family caregiving without financial ruin). All five payroll-funded pillars are visible in this layout though combined for narrative coherence.</w:t>
      </w:r>
    </w:p>
    <w:p>
      <w:pPr>
        <w:spacing w:after="240" w:before="480"/>
      </w:pPr>
      <w:r>
        <w:rPr>
          <w:rFonts w:ascii="Arial" w:cs="Arial" w:eastAsia="Arial" w:hAnsi="Arial"/>
          <w:b/>
          <w:bCs/>
          <w:color w:val="1F4E78"/>
          <w:sz w:val="36"/>
          <w:szCs w:val="36"/>
        </w:rPr>
        <w:t>Honest treatment of new revenue mechanisms</w:t>
      </w:r>
    </w:p>
    <w:p>
      <w:pPr>
        <w:spacing w:after="240" w:before="480"/>
      </w:pPr>
      <w:r>
        <w:rPr>
          <w:rFonts w:ascii="Arial" w:cs="Arial" w:eastAsia="Arial" w:hAnsi="Arial"/>
          <w:b/>
          <w:bCs/>
          <w:color w:val="1F4E78"/>
          <w:sz w:val="36"/>
          <w:szCs w:val="36"/>
        </w:rPr>
        <w:t>Per Jason's substantive question, Option C explicitly states funding mechanisms throughout: payroll percentages on the childhood slide for Pillar Four; combined payroll percentages on the working-age slide; the Pillar Eleven carbon price acknowledged on the retirement slide as continuing to deliver dividend; the funding architecture summary slide twelve provides the comprehensive treatment with all twelve pillars categorized by funding mechanism.</w:t>
      </w:r>
    </w:p>
    <w:p>
      <w:pPr>
        <w:spacing w:after="240" w:before="480"/>
      </w:pPr>
      <w:r>
        <w:rPr>
          <w:rFonts w:ascii="Arial" w:cs="Arial" w:eastAsia="Arial" w:hAnsi="Arial"/>
          <w:b/>
          <w:bCs/>
          <w:color w:val="1F4E78"/>
          <w:sz w:val="36"/>
          <w:szCs w:val="36"/>
        </w:rPr>
        <w:t>Original deck and prior options preserved for comparison</w:t>
      </w:r>
    </w:p>
    <w:p>
      <w:pPr>
        <w:spacing w:after="240" w:before="480"/>
      </w:pPr>
      <w:r>
        <w:rPr>
          <w:rFonts w:ascii="Arial" w:cs="Arial" w:eastAsia="Arial" w:hAnsi="Arial"/>
          <w:b/>
          <w:bCs/>
          <w:color w:val="1F4E78"/>
          <w:sz w:val="36"/>
          <w:szCs w:val="36"/>
        </w:rPr>
        <w:t>The original 06_We_The_People_Overview pptx and pdf files are unchanged. The Option A files from v3.7.0 are unchanged. The Option B files from v3.7.1 are unchanged. Option C is added as separate files. Jason can now compare four alternatives side by side: original (16 slides, 7 pillars covered), Option A (17 slides, 12 pillars, light addition), Option B (18 slides, funding-mechanism primary), Option C (20 slides, life-stage primary).</w:t>
      </w:r>
    </w:p>
    <w:p>
      <w:pPr>
        <w:spacing w:after="240" w:before="480"/>
      </w:pPr>
      <w:r>
        <w:rPr>
          <w:rFonts w:ascii="Arial" w:cs="Arial" w:eastAsia="Arial" w:hAnsi="Arial"/>
          <w:b/>
          <w:bCs/>
          <w:color w:val="1F4E78"/>
          <w:sz w:val="36"/>
          <w:szCs w:val="36"/>
        </w:rPr>
        <w:t>What v3.7.2 does NOT change</w:t>
      </w:r>
    </w:p>
    <w:p>
      <w:pPr>
        <w:spacing w:after="240" w:before="480"/>
      </w:pPr>
      <w:r>
        <w:rPr>
          <w:rFonts w:ascii="Arial" w:cs="Arial" w:eastAsia="Arial" w:hAnsi="Arial"/>
          <w:b/>
          <w:bCs/>
          <w:color w:val="1F4E78"/>
          <w:sz w:val="36"/>
          <w:szCs w:val="36"/>
        </w:rPr>
        <w:t>The platform's analytical content is unchanged. All twelve pillars unchanged. Section 47 still 64 Y / 0 N. The audit infrastructure is unchanged. The calculator is unchanged. Stats in the deck remain stable per Jason's directive. Original deck, Options A and B all unchanged.</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manifest entries needed for new slideshow files (added for both pptx and pdf); TOC entries needed (added as 104 and 105); PV doc count claim unchanged at ninety-eight (pptx and pdf are not counted in DOCX plus XLSX count). All catches resolved. Audit count expected at twenty-five OBS, zero MIN, zero SIG.</w:t>
      </w:r>
    </w:p>
    <w:p>
      <w:pPr>
        <w:spacing w:after="240" w:before="480"/>
      </w:pPr>
      <w:r>
        <w:rPr>
          <w:rFonts w:ascii="Arial" w:cs="Arial" w:eastAsia="Arial" w:hAnsi="Arial"/>
          <w:b/>
          <w:bCs/>
          <w:color w:val="1F4E78"/>
          <w:sz w:val="36"/>
          <w:szCs w:val="36"/>
        </w:rPr>
        <w:t>Three slideshow alternatives complete</w:t>
      </w:r>
    </w:p>
    <w:p>
      <w:pPr>
        <w:spacing w:after="240" w:before="480"/>
      </w:pPr>
      <w:r>
        <w:rPr>
          <w:rFonts w:ascii="Arial" w:cs="Arial" w:eastAsia="Arial" w:hAnsi="Arial"/>
          <w:b/>
          <w:bCs/>
          <w:color w:val="1F4E78"/>
          <w:sz w:val="36"/>
          <w:szCs w:val="36"/>
        </w:rPr>
        <w:t>With v3.7.2 the three planned slideshow alternatives are complete. Option A (Light) keeps the original sixteen-slide structure intact and adds one new slide for Pillars Nine through Twelve. Option B (Medium) replaces the original adjacent-pillars slide with three new slides organized by funding mechanism. Option C (Full Rebuild) replaces the original adjacent-pillars slide with five new slides organized by life stage with a secondary funding-mechanism slide. The next natural iteration will be after Jason has compared the four alternatives and picked one; that future iteration will remove the discarded alternatives and update file references accordingly. Possible future iterations beyond that include stat updates to reflect aggregate twelve-pillar economics (deferred per Jason's keep-stats-stable directive during alternative comparison).</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v3.7.2 is the sixty-sixth consecutive clean current-iteration narrative produced under the abstracted-language auto-check discipline. The four-phase cycle proceeded normally: Phase 1 audit was clean baseline at v3.7.1; Phase 2 used pptx skill workflow to unpack the original source, duplicate slide eight five times, replace original slide eight reference in sldIdLst with five new slide references at positions eight through twelve, edit content for each new slide with life-stage specific framing and Option-C-specific slide three caption, renumber footers in slides ten through fourteen and slide sixteen, run clean script (which removed orphaned original slide eight), pack via pack script, generate PDF, generate slide images for visual QA via pdftoppm, verify cleanliness with view tool inspection of slides three, eight, nine, ten, eleven, twelve; Phase 3 verified clean state across all sixteen audit operations; Phase 4 documents the iteration here. The three slideshow alternatives are now complete; pause point reached.</w:t>
      </w:r>
    </w:p>
    <w:p>
      <w:pPr>
        <w:pStyle w:val="Heading1"/>
      </w:pPr>
      <w:r>
        <w:t>Section 110: v3.7.3 Hardening Cycle (Catalog Refresh; Twelve Pillars Visible in GUI)</w:t>
      </w:r>
    </w:p>
    <w:p>
      <w:pPr>
        <w:spacing w:after="240" w:before="480"/>
      </w:pPr>
      <w:r>
        <w:rPr>
          <w:rFonts w:ascii="Arial" w:cs="Arial" w:eastAsia="Arial" w:hAnsi="Arial"/>
          <w:b/>
          <w:bCs/>
          <w:color w:val="1F4E78"/>
          <w:sz w:val="36"/>
          <w:szCs w:val="36"/>
        </w:rPr>
        <w:t>v3.7.3 is a hardening iteration that addresses a significant integration gap identified after the v3.7.2 ship: the platform GUI catalog at platform_catalog.js had not been refreshed since v3.2.6, meaning the GUI was missing entries for the four pillar substantiation documents added in v3.3.0 through v3.6.0 (Pillars Nine, Ten, Eleven, Twelve), the pillars 9-12 themselves were missing from the GUI's pillars filter, and all six slideshow alternative files added in v3.7.0 through v3.7.2 were absent from the catalog. The GUI was therefore presenting a stale view of the package even though the package itself was current and audit-clean. v3.7.3 closes this gap.</w:t>
      </w:r>
    </w:p>
    <w:p>
      <w:pPr>
        <w:spacing w:after="240" w:before="480"/>
      </w:pPr>
      <w:r>
        <w:rPr>
          <w:rFonts w:ascii="Arial" w:cs="Arial" w:eastAsia="Arial" w:hAnsi="Arial"/>
          <w:b/>
          <w:bCs/>
          <w:color w:val="1F4E78"/>
          <w:sz w:val="36"/>
          <w:szCs w:val="36"/>
        </w:rPr>
        <w:t>Catalog metadata refresh</w:t>
      </w:r>
    </w:p>
    <w:p>
      <w:pPr>
        <w:spacing w:after="240" w:before="480"/>
      </w:pPr>
      <w:r>
        <w:rPr>
          <w:rFonts w:ascii="Arial" w:cs="Arial" w:eastAsia="Arial" w:hAnsi="Arial"/>
          <w:b/>
          <w:bCs/>
          <w:color w:val="1F4E78"/>
          <w:sz w:val="36"/>
          <w:szCs w:val="36"/>
        </w:rPr>
        <w:t>Three metadata fields updated in platform_catalog.js: platformVersion bumped from 3.2.6 to 3.7.3 reflecting the current package version; generatedDate updated from May 8 to May 9 reflecting the catalog refresh date; totalDocuments updated from ninety to one hundred reflecting the ten new entries added.</w:t>
      </w:r>
    </w:p>
    <w:p>
      <w:pPr>
        <w:spacing w:after="240" w:before="480"/>
      </w:pPr>
      <w:r>
        <w:rPr>
          <w:rFonts w:ascii="Arial" w:cs="Arial" w:eastAsia="Arial" w:hAnsi="Arial"/>
          <w:b/>
          <w:bCs/>
          <w:color w:val="1F4E78"/>
          <w:sz w:val="36"/>
          <w:szCs w:val="36"/>
        </w:rPr>
        <w:t>Pillars array expansion</w:t>
      </w:r>
    </w:p>
    <w:p>
      <w:pPr>
        <w:spacing w:after="240" w:before="480"/>
      </w:pPr>
      <w:r>
        <w:rPr>
          <w:rFonts w:ascii="Arial" w:cs="Arial" w:eastAsia="Arial" w:hAnsi="Arial"/>
          <w:b/>
          <w:bCs/>
          <w:color w:val="1F4E78"/>
          <w:sz w:val="36"/>
          <w:szCs w:val="36"/>
        </w:rPr>
        <w:t>The catalog's pillars array previously had eight entries (Pillars One through Eight). v3.7.3 adds four entries: Pillar Nine (Universal Long-Term Care), Pillar Ten (Federal Housing Investment), Pillar Eleven (Climate Architecture), Pillar Twelve (Immigration Architecture). The GUI's by-pillar filter now offers all twelve pillars.</w:t>
      </w:r>
    </w:p>
    <w:p>
      <w:pPr>
        <w:spacing w:after="240" w:before="480"/>
      </w:pPr>
      <w:r>
        <w:rPr>
          <w:rFonts w:ascii="Arial" w:cs="Arial" w:eastAsia="Arial" w:hAnsi="Arial"/>
          <w:b/>
          <w:bCs/>
          <w:color w:val="1F4E78"/>
          <w:sz w:val="36"/>
          <w:szCs w:val="36"/>
        </w:rPr>
        <w:t>New catalog entries</w:t>
      </w:r>
    </w:p>
    <w:p>
      <w:pPr>
        <w:spacing w:after="240" w:before="480"/>
      </w:pPr>
      <w:r>
        <w:rPr>
          <w:rFonts w:ascii="Arial" w:cs="Arial" w:eastAsia="Arial" w:hAnsi="Arial"/>
          <w:b/>
          <w:bCs/>
          <w:color w:val="1F4E78"/>
          <w:sz w:val="36"/>
          <w:szCs w:val="36"/>
        </w:rPr>
        <w:t>Ten new entries added (numbers ninety-one through one hundred). Entries ninety-one through ninety-four cover the four pillar substantiation documents added in v3.3.0 through v3.6.0. Entries ninety-five through one hundred cover the six slideshow alternative files added in v3.7.0 through v3.7.2 (Option A pptx, Option A pdf, Option B pptx, Option B pdf, Option C pptx, Option C pdf). Each entry follows the catalog's existing structure: num, title, path, format, description, folder, folder_label, fileType, pillars array, tags array, recency string, pageCount integer.</w:t>
      </w:r>
    </w:p>
    <w:p>
      <w:pPr>
        <w:spacing w:after="240" w:before="480"/>
      </w:pPr>
      <w:r>
        <w:rPr>
          <w:rFonts w:ascii="Arial" w:cs="Arial" w:eastAsia="Arial" w:hAnsi="Arial"/>
          <w:b/>
          <w:bCs/>
          <w:color w:val="1F4E78"/>
          <w:sz w:val="36"/>
          <w:szCs w:val="36"/>
        </w:rPr>
        <w:t>Folder counts updated</w:t>
      </w:r>
    </w:p>
    <w:p>
      <w:pPr>
        <w:spacing w:after="240" w:before="480"/>
      </w:pPr>
      <w:r>
        <w:rPr>
          <w:rFonts w:ascii="Arial" w:cs="Arial" w:eastAsia="Arial" w:hAnsi="Arial"/>
          <w:b/>
          <w:bCs/>
          <w:color w:val="1F4E78"/>
          <w:sz w:val="36"/>
          <w:szCs w:val="36"/>
        </w:rPr>
        <w:t>Two folder count fields updated in the catalog's folders array: 05_Analytical_Framing folder count incremented by four (the four new pillar substantiation documents); 06_Presentation_Materials folder count incremented by six (the six new slideshow alternative files). The GUI's by-folder filter now reflects accurate counts.</w:t>
      </w:r>
    </w:p>
    <w:p>
      <w:pPr>
        <w:spacing w:after="240" w:before="480"/>
      </w:pPr>
      <w:r>
        <w:rPr>
          <w:rFonts w:ascii="Arial" w:cs="Arial" w:eastAsia="Arial" w:hAnsi="Arial"/>
          <w:b/>
          <w:bCs/>
          <w:color w:val="1F4E78"/>
          <w:sz w:val="36"/>
          <w:szCs w:val="36"/>
        </w:rPr>
        <w:t>Catalog vs manifest gap analysis</w:t>
      </w:r>
    </w:p>
    <w:p>
      <w:pPr>
        <w:spacing w:after="240" w:before="480"/>
      </w:pPr>
      <w:r>
        <w:rPr>
          <w:rFonts w:ascii="Arial" w:cs="Arial" w:eastAsia="Arial" w:hAnsi="Arial"/>
          <w:b/>
          <w:bCs/>
          <w:color w:val="1F4E78"/>
          <w:sz w:val="36"/>
          <w:szCs w:val="36"/>
        </w:rPr>
        <w:t>After v3.7.3 the catalog has one hundred entries while the manifest has one hundred nine files. The nine-file gap consists of the deployment bundle files in 00_Deployment_Bundle (lead author bio, disclosure page, four citation files in BibTeX, RIS, APA, and Chicago formats, license declaration, public-facing site README, domain candidates analysis). These are deployment artifacts intended for the public-facing site root; the catalog correctly omits them since they are not analytical content. The same nine-file gap existed at the v3.2.6 catalog refresh (90 catalog vs ~99 manifest at that time, with similar deployment-context files).</w:t>
      </w:r>
    </w:p>
    <w:p>
      <w:pPr>
        <w:spacing w:after="240" w:before="480"/>
      </w:pPr>
      <w:r>
        <w:rPr>
          <w:rFonts w:ascii="Arial" w:cs="Arial" w:eastAsia="Arial" w:hAnsi="Arial"/>
          <w:b/>
          <w:bCs/>
          <w:color w:val="1F4E78"/>
          <w:sz w:val="36"/>
          <w:szCs w:val="36"/>
        </w:rPr>
        <w:t>Hardening items considered but deferred</w:t>
      </w:r>
    </w:p>
    <w:p>
      <w:pPr>
        <w:spacing w:after="240" w:before="480"/>
      </w:pPr>
      <w:r>
        <w:rPr>
          <w:rFonts w:ascii="Arial" w:cs="Arial" w:eastAsia="Arial" w:hAnsi="Arial"/>
          <w:b/>
          <w:bCs/>
          <w:color w:val="1F4E78"/>
          <w:sz w:val="36"/>
          <w:szCs w:val="36"/>
        </w:rPr>
        <w:t>Several hardening items were considered but deferred to keep the v3.7.3 scope focused. First: the calculator (06_We_The_People_Calculator.html) is unchanged and does not yet reflect the four pillars added in v3.3.0 through v3.6.0; updating the calculator to include Pillar Nine LTC contribution rate, possible Pillar Eleven carbon dividend offset notation, and other v3.3.0-plus content is deferred to a future iteration. Second: the README_PUBLIC.md path references in the deployment bundle still assume deployment-site root layout; adding a clarifying note about this is deferred. Third: aggregate stat updates across the platform documents to reflect the full twelve-pillar economics are deferred per Jason's directive to keep stats stable until one of Options A, B, C is selected. Fourth: many of the original eight pillars' shortName fields were not standardized (some entries have shortName, some have just name); standardizing this is a future cleanup item.</w:t>
      </w:r>
    </w:p>
    <w:p>
      <w:pPr>
        <w:spacing w:after="240" w:before="480"/>
      </w:pPr>
      <w:r>
        <w:rPr>
          <w:rFonts w:ascii="Arial" w:cs="Arial" w:eastAsia="Arial" w:hAnsi="Arial"/>
          <w:b/>
          <w:bCs/>
          <w:color w:val="1F4E78"/>
          <w:sz w:val="36"/>
          <w:szCs w:val="36"/>
        </w:rPr>
        <w:t>Citizen-vote-on-accountability discussion</w:t>
      </w:r>
    </w:p>
    <w:p>
      <w:pPr>
        <w:spacing w:after="240" w:before="480"/>
      </w:pPr>
      <w:r>
        <w:rPr>
          <w:rFonts w:ascii="Arial" w:cs="Arial" w:eastAsia="Arial" w:hAnsi="Arial"/>
          <w:b/>
          <w:bCs/>
          <w:color w:val="1F4E78"/>
          <w:sz w:val="36"/>
          <w:szCs w:val="36"/>
        </w:rPr>
        <w:t>Jason raised a substantive question this iteration about whether the platform's infrastructure could be extended to enable citizen-initiated accountability mechanisms (citizen votes on impeachment or recall). The honest answer is that the idea sits in a different category from the existing twelve pillars (constitutional infrastructure rather than policy infrastructure), faces real constitutional barriers (federal impeachment is constitutionally specified to House and Senate; citizen-initiated impeachment authority would require constitutional amendment), and carries design risks (vulnerability to coordinated misinformation, the approved-list-of-purposes capture problem, voting infrastructure security challenges). More feasible adjacent approaches include federal ballot initiative authority for legislation, transparency infrastructure providing citizens with real-time accountability data, strengthened citizen petition rights with binding effect at thresholds, and federal-level recall for offices below the Presidency. The discussion is logged here as a future research direction rather than a candidate Pillar Thirteen; if Jason wants to develop the idea further, a separate research note documenting constitutional barriers, adjacent feasible approaches, and open questions would be the appropriate next step (deferred to a future iteration if requested).</w:t>
      </w:r>
    </w:p>
    <w:p>
      <w:pPr>
        <w:spacing w:after="240" w:before="480"/>
      </w:pPr>
      <w:r>
        <w:rPr>
          <w:rFonts w:ascii="Arial" w:cs="Arial" w:eastAsia="Arial" w:hAnsi="Arial"/>
          <w:b/>
          <w:bCs/>
          <w:color w:val="1F4E78"/>
          <w:sz w:val="36"/>
          <w:szCs w:val="36"/>
        </w:rPr>
        <w:t>Slideshow alternatives kept</w:t>
      </w:r>
    </w:p>
    <w:p>
      <w:pPr>
        <w:spacing w:after="240" w:before="480"/>
      </w:pPr>
      <w:r>
        <w:rPr>
          <w:rFonts w:ascii="Arial" w:cs="Arial" w:eastAsia="Arial" w:hAnsi="Arial"/>
          <w:b/>
          <w:bCs/>
          <w:color w:val="1F4E78"/>
          <w:sz w:val="36"/>
          <w:szCs w:val="36"/>
        </w:rPr>
        <w:t>Per Jason's directive in this iteration, all three slideshow alternatives (Options A, B, C) plus the original deck are kept in the package. No removal of any slideshow alternative occurred in v3.7.3. Selection of one alternative remains a future iteration (when Jason picks one, the others can be removed in v3.7.4 or similar).</w:t>
      </w:r>
    </w:p>
    <w:p>
      <w:pPr>
        <w:spacing w:after="240" w:before="480"/>
      </w:pPr>
      <w:r>
        <w:rPr>
          <w:rFonts w:ascii="Arial" w:cs="Arial" w:eastAsia="Arial" w:hAnsi="Arial"/>
          <w:b/>
          <w:bCs/>
          <w:color w:val="1F4E78"/>
          <w:sz w:val="36"/>
          <w:szCs w:val="36"/>
        </w:rPr>
        <w:t>What v3.7.3 does NOT change</w:t>
      </w:r>
    </w:p>
    <w:p>
      <w:pPr>
        <w:spacing w:after="240" w:before="480"/>
      </w:pPr>
      <w:r>
        <w:rPr>
          <w:rFonts w:ascii="Arial" w:cs="Arial" w:eastAsia="Arial" w:hAnsi="Arial"/>
          <w:b/>
          <w:bCs/>
          <w:color w:val="1F4E78"/>
          <w:sz w:val="36"/>
          <w:szCs w:val="36"/>
        </w:rPr>
        <w:t>The platform's analytical content is unchanged. All twelve pillars unchanged. Section 47 still 64 Y / 0 N. The audit infrastructure is unchanged. The calculator is unchanged. All four slideshow alternatives (original plus Options A, B, C) are unchanged. Stats in the deck remain stable. v3.7.3 is purely a GUI catalog refresh.</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none, because v3.7.3 modifies only platform_catalog.js which is not tracked by manifest, TOC, or Section 47 audit operations. Audit count expected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v3.7.3 is the sixty-seventh consecutive clean current-iteration narrative produced under the abstracted-language auto-check discipline. The four-phase cycle proceeded normally: Phase 1 audit was clean baseline at v3.7.2; Phase 2 updated platform_catalog.js metadata (platformVersion, generatedDate, totalDocuments), added four entries to the pillars array, added ten new document entries covering the four pillar substantiation documents and the six slideshow alternative files, updated the two affected folder counts; Phase 3 verified clean state including catalog JS-validity check via node, audit operations passed; Phase 4 documents the iteration here.</w:t>
      </w:r>
    </w:p>
    <w:p>
      <w:pPr>
        <w:pStyle w:val="Heading1"/>
      </w:pPr>
      <w:r>
        <w:t>Section 111: v3.7.4 Citizen Accountability Architecture Research Note Created</w:t>
      </w:r>
    </w:p>
    <w:p>
      <w:pPr>
        <w:spacing w:after="240" w:before="480"/>
      </w:pPr>
      <w:r>
        <w:rPr>
          <w:rFonts w:ascii="Arial" w:cs="Arial" w:eastAsia="Arial" w:hAnsi="Arial"/>
          <w:b/>
          <w:bCs/>
          <w:color w:val="1F4E78"/>
          <w:sz w:val="36"/>
          <w:szCs w:val="36"/>
        </w:rPr>
        <w:t>v3.7.4 captures the architectural thinking from a substantive conversation into a research note document. The conversation explored whether and how the platform's transparency and information infrastructure could be extended to enable citizen-initiated accountability mechanisms. The research note documents the architectural vision, constitutional landscape, design options, and open questions for that direction without committing the platform to a specific position.</w:t>
      </w:r>
    </w:p>
    <w:p>
      <w:pPr>
        <w:spacing w:after="240" w:before="480"/>
      </w:pPr>
      <w:r>
        <w:rPr>
          <w:rFonts w:ascii="Arial" w:cs="Arial" w:eastAsia="Arial" w:hAnsi="Arial"/>
          <w:b/>
          <w:bCs/>
          <w:color w:val="1F4E78"/>
          <w:sz w:val="36"/>
          <w:szCs w:val="36"/>
        </w:rPr>
        <w:t>Document scope and framing</w:t>
      </w:r>
    </w:p>
    <w:p>
      <w:pPr>
        <w:spacing w:after="240" w:before="480"/>
      </w:pPr>
      <w:r>
        <w:rPr>
          <w:rFonts w:ascii="Arial" w:cs="Arial" w:eastAsia="Arial" w:hAnsi="Arial"/>
          <w:b/>
          <w:bCs/>
          <w:color w:val="1F4E78"/>
          <w:sz w:val="36"/>
          <w:szCs w:val="36"/>
        </w:rPr>
        <w:t>The new document (05_Citizen_Accountability_Architecture_Research_Note.docx) is approximately twenty-one pages, one hundred seven paragraphs, fifteen major sections. It is explicitly framed as a research direction document rather than a candidate Pillar Thirteen. The framing distinction is substantive: the existing twelve pillars are policy infrastructure operating within the existing constitutional structure; the citizen-accountability direction is constitutional infrastructure that would require amendment for the binding portions. Different category, different feasibility profile, different timeline, different coalition strategy.</w:t>
      </w:r>
    </w:p>
    <w:p>
      <w:pPr>
        <w:spacing w:after="240" w:before="480"/>
      </w:pPr>
      <w:r>
        <w:rPr>
          <w:rFonts w:ascii="Arial" w:cs="Arial" w:eastAsia="Arial" w:hAnsi="Arial"/>
          <w:b/>
          <w:bCs/>
          <w:color w:val="1F4E78"/>
          <w:sz w:val="36"/>
          <w:szCs w:val="36"/>
        </w:rPr>
        <w:t>Two-track architecture documented</w:t>
      </w:r>
    </w:p>
    <w:p>
      <w:pPr>
        <w:spacing w:after="240" w:before="480"/>
      </w:pPr>
      <w:r>
        <w:rPr>
          <w:rFonts w:ascii="Arial" w:cs="Arial" w:eastAsia="Arial" w:hAnsi="Arial"/>
          <w:b/>
          <w:bCs/>
          <w:color w:val="1F4E78"/>
          <w:sz w:val="36"/>
          <w:szCs w:val="36"/>
        </w:rPr>
        <w:t>The note's central architectural framing is the two-track structure: Track A is transparency and information infrastructure achievable without constitutional amendment (real-time financial transparency, multi-perspective explainer platforms, government proceedings archive, open-data requirements, verified-identity petition platforms operating with non-binding effect, standardized ad disclosure platforms); Track B is citizen-initiated action mechanisms requiring constitutional amendment (tiered escalation from petition through vote to institutional action, threshold calibration, pre-vote informational requirements, constraints on what citizen-initiated actions can do). The two-track structure permits deliberate sequencing: build Track A first, build trust through operational track record, then propose constitutional amendment for Track B.</w:t>
      </w:r>
    </w:p>
    <w:p>
      <w:pPr>
        <w:spacing w:after="240" w:before="480"/>
      </w:pPr>
      <w:r>
        <w:rPr>
          <w:rFonts w:ascii="Arial" w:cs="Arial" w:eastAsia="Arial" w:hAnsi="Arial"/>
          <w:b/>
          <w:bCs/>
          <w:color w:val="1F4E78"/>
          <w:sz w:val="36"/>
          <w:szCs w:val="36"/>
        </w:rPr>
        <w:t>Threshold calibration documented</w:t>
      </w:r>
    </w:p>
    <w:p>
      <w:pPr>
        <w:spacing w:after="240" w:before="480"/>
      </w:pPr>
      <w:r>
        <w:rPr>
          <w:rFonts w:ascii="Arial" w:cs="Arial" w:eastAsia="Arial" w:hAnsi="Arial"/>
          <w:b/>
          <w:bCs/>
          <w:color w:val="1F4E78"/>
          <w:sz w:val="36"/>
          <w:szCs w:val="36"/>
        </w:rPr>
        <w:t>The note documents specific threshold ranges informed by international and state experience: petition initiation by any citizen with verified identity (no threshold); review trigger at one to two percent of voters from prior election; vote-trigger at five to ten percent; vote outcome for institutional action at simple majority for less significant actions or supermajority of sixty to sixty-seven percent for more significant actions like impeachment-trigger or recall. The seventy-five percent threshold mentioned in the originating discussion is documented as too high to be functional. International precedents documented: Switzerland approximately two percent; California recall twelve percent; EU Citizens Initiative approximately one million signatures across seven member states.</w:t>
      </w:r>
    </w:p>
    <w:p>
      <w:pPr>
        <w:spacing w:after="240" w:before="480"/>
      </w:pPr>
      <w:r>
        <w:rPr>
          <w:rFonts w:ascii="Arial" w:cs="Arial" w:eastAsia="Arial" w:hAnsi="Arial"/>
          <w:b/>
          <w:bCs/>
          <w:color w:val="1F4E78"/>
          <w:sz w:val="36"/>
          <w:szCs w:val="36"/>
        </w:rPr>
        <w:t>Non-partisan information question identified as central design challenge</w:t>
      </w:r>
    </w:p>
    <w:p>
      <w:pPr>
        <w:spacing w:after="240" w:before="480"/>
      </w:pPr>
      <w:r>
        <w:rPr>
          <w:rFonts w:ascii="Arial" w:cs="Arial" w:eastAsia="Arial" w:hAnsi="Arial"/>
          <w:b/>
          <w:bCs/>
          <w:color w:val="1F4E78"/>
          <w:sz w:val="36"/>
          <w:szCs w:val="36"/>
        </w:rPr>
        <w:t>The note identifies the institutional design of non-partisan informational content as the most difficult single design question. Four candidate mechanisms documented with trade-offs: sortition-based citizen jury (highly resistant to capture but slow); multi-party consensus committee (fast but vulnerable to gridlock); court-appointed bipartisan panel (combines professionalism with accountability but depends on judicial independence); multi-perspective format (avoids single-producer problem but requires defining recognized perspectives). The note recommends further development as a hybrid: multi-perspective format for ordinary explainers, sortition-based citizen jury review for high-stakes explainers.</w:t>
      </w:r>
    </w:p>
    <w:p>
      <w:pPr>
        <w:spacing w:after="240" w:before="480"/>
      </w:pPr>
      <w:r>
        <w:rPr>
          <w:rFonts w:ascii="Arial" w:cs="Arial" w:eastAsia="Arial" w:hAnsi="Arial"/>
          <w:b/>
          <w:bCs/>
          <w:color w:val="1F4E78"/>
          <w:sz w:val="36"/>
          <w:szCs w:val="36"/>
        </w:rPr>
        <w:t>First Amendment constraints documented</w:t>
      </w:r>
    </w:p>
    <w:p>
      <w:pPr>
        <w:spacing w:after="240" w:before="480"/>
      </w:pPr>
      <w:r>
        <w:rPr>
          <w:rFonts w:ascii="Arial" w:cs="Arial" w:eastAsia="Arial" w:hAnsi="Arial"/>
          <w:b/>
          <w:bCs/>
          <w:color w:val="1F4E78"/>
          <w:sz w:val="36"/>
          <w:szCs w:val="36"/>
        </w:rPr>
        <w:t>The note documents what is clearly constitutional (disclosure requirements, length and timing limits, equal-time provisions, truth-in-labeling), what faces challenge (mandatory factual content runs into New York Times v. Sullivan; pre-vote informational video may face compelled-speech challenge; anti-negative-ad rules face challenge over definition of negative), and workable approaches that respect First Amendment values (disclosure rather than content regulation; alternative high-quality channels rather than restricting low-quality channels; post hoc enforcement rather than pre-publication review).</w:t>
      </w:r>
    </w:p>
    <w:p>
      <w:pPr>
        <w:spacing w:after="240" w:before="480"/>
      </w:pPr>
      <w:r>
        <w:rPr>
          <w:rFonts w:ascii="Arial" w:cs="Arial" w:eastAsia="Arial" w:hAnsi="Arial"/>
          <w:b/>
          <w:bCs/>
          <w:color w:val="1F4E78"/>
          <w:sz w:val="36"/>
          <w:szCs w:val="36"/>
        </w:rPr>
        <w:t>Sequencing strategy documented</w:t>
      </w:r>
    </w:p>
    <w:p>
      <w:pPr>
        <w:spacing w:after="240" w:before="480"/>
      </w:pPr>
      <w:r>
        <w:rPr>
          <w:rFonts w:ascii="Arial" w:cs="Arial" w:eastAsia="Arial" w:hAnsi="Arial"/>
          <w:b/>
          <w:bCs/>
          <w:color w:val="1F4E78"/>
          <w:sz w:val="36"/>
          <w:szCs w:val="36"/>
        </w:rPr>
        <w:t>Phase one years one through ten: build Track A. Phase two years five through fifteen overlapping with phase one: build trust and track record. Phase three years fifteen through twenty-five: constitutional amendment for Track B. Phase four years twenty through thirty onward: Track B operational. The sequencing has several virtues: does the achievable work first; builds the institutional and technical infrastructure that the amendment depends on; builds the public trust required for the amendment; provides empirical evidence to inform the amendment's design; does not require waiting for the amendment to deliver substantial benefits.</w:t>
      </w:r>
    </w:p>
    <w:p>
      <w:pPr>
        <w:spacing w:after="240" w:before="480"/>
      </w:pPr>
      <w:r>
        <w:rPr>
          <w:rFonts w:ascii="Arial" w:cs="Arial" w:eastAsia="Arial" w:hAnsi="Arial"/>
          <w:b/>
          <w:bCs/>
          <w:color w:val="1F4E78"/>
          <w:sz w:val="36"/>
          <w:szCs w:val="36"/>
        </w:rPr>
        <w:t>Reducing corruption surface area</w:t>
      </w:r>
    </w:p>
    <w:p>
      <w:pPr>
        <w:spacing w:after="240" w:before="480"/>
      </w:pPr>
      <w:r>
        <w:rPr>
          <w:rFonts w:ascii="Arial" w:cs="Arial" w:eastAsia="Arial" w:hAnsi="Arial"/>
          <w:b/>
          <w:bCs/>
          <w:color w:val="1F4E78"/>
          <w:sz w:val="36"/>
          <w:szCs w:val="36"/>
        </w:rPr>
        <w:t>The note documents specific mechanisms to reduce corruption surface area achievable without constitutional amendment: strengthened whistleblower protections, FOIA expansion with shorter response times and criminal penalties for non-compliance, personal financial disclosure for senior officials and immediate family with real-time updates, real-time conflict-of-interest registries, beneficial ownership transparency for federal contractors, lobbyist transparency. These mechanisms together substantially reduce federal corruption surface area; achievable through comprehensive legislation (perhaps an Anti-Corruption and Transparency Act).</w:t>
      </w:r>
    </w:p>
    <w:p>
      <w:pPr>
        <w:spacing w:after="240" w:before="480"/>
      </w:pPr>
      <w:r>
        <w:rPr>
          <w:rFonts w:ascii="Arial" w:cs="Arial" w:eastAsia="Arial" w:hAnsi="Arial"/>
          <w:b/>
          <w:bCs/>
          <w:color w:val="1F4E78"/>
          <w:sz w:val="36"/>
          <w:szCs w:val="36"/>
        </w:rPr>
        <w:t>Relationship to existing platform documented</w:t>
      </w:r>
    </w:p>
    <w:p>
      <w:pPr>
        <w:spacing w:after="240" w:before="480"/>
      </w:pPr>
      <w:r>
        <w:rPr>
          <w:rFonts w:ascii="Arial" w:cs="Arial" w:eastAsia="Arial" w:hAnsi="Arial"/>
          <w:b/>
          <w:bCs/>
          <w:color w:val="1F4E78"/>
          <w:sz w:val="36"/>
          <w:szCs w:val="36"/>
        </w:rPr>
        <w:t>Track A overlaps with Pillar Seven Civic Infrastructure substantively: where Pillar Seven addresses physical and digital infrastructure, Track A addresses informational infrastructure. The Track A vision could be folded into Pillar Seven's substantiation in a future iteration if Jason chooses to develop it that way. Track B does not fit within the existing twelve-pillar architecture; it is constitutional rather than policy infrastructure. The note explicitly does not recommend a specific course of action; the decision about whether to pursue this direction is fundamentally Jason's to make and ultimately a much broader political and constitutional decision.</w:t>
      </w:r>
    </w:p>
    <w:p>
      <w:pPr>
        <w:spacing w:after="240" w:before="480"/>
      </w:pPr>
      <w:r>
        <w:rPr>
          <w:rFonts w:ascii="Arial" w:cs="Arial" w:eastAsia="Arial" w:hAnsi="Arial"/>
          <w:b/>
          <w:bCs/>
          <w:color w:val="1F4E78"/>
          <w:sz w:val="36"/>
          <w:szCs w:val="36"/>
        </w:rPr>
        <w:t>Open issues for further development</w:t>
      </w:r>
    </w:p>
    <w:p>
      <w:pPr>
        <w:spacing w:after="240" w:before="480"/>
      </w:pPr>
      <w:r>
        <w:rPr>
          <w:rFonts w:ascii="Arial" w:cs="Arial" w:eastAsia="Arial" w:hAnsi="Arial"/>
          <w:b/>
          <w:bCs/>
          <w:color w:val="1F4E78"/>
          <w:sz w:val="36"/>
          <w:szCs w:val="36"/>
        </w:rPr>
        <w:t>The note identifies six open issues requiring further development: the non-partisan information institutional design (which mechanism actually produces high-quality explainers at scale); threshold calibration for evolving political conditions; coordination with federal-state-tribal authority; voting infrastructure security (high-value target for sophisticated adversaries); First Amendment doctrine evolution over decades; coalition building for constitutional amendment. These items are documented to inform future work without resolving them in the research note itself.</w:t>
      </w:r>
    </w:p>
    <w:p>
      <w:pPr>
        <w:spacing w:after="240" w:before="480"/>
      </w:pPr>
      <w:r>
        <w:rPr>
          <w:rFonts w:ascii="Arial" w:cs="Arial" w:eastAsia="Arial" w:hAnsi="Arial"/>
          <w:b/>
          <w:bCs/>
          <w:color w:val="1F4E78"/>
          <w:sz w:val="36"/>
          <w:szCs w:val="36"/>
        </w:rPr>
        <w:t>What v3.7.4 does NOT change</w:t>
      </w:r>
    </w:p>
    <w:p>
      <w:pPr>
        <w:spacing w:after="240" w:before="480"/>
      </w:pPr>
      <w:r>
        <w:rPr>
          <w:rFonts w:ascii="Arial" w:cs="Arial" w:eastAsia="Arial" w:hAnsi="Arial"/>
          <w:b/>
          <w:bCs/>
          <w:color w:val="1F4E78"/>
          <w:sz w:val="36"/>
          <w:szCs w:val="36"/>
        </w:rPr>
        <w:t>The platform's analytical content is unchanged. All twelve pillars unchanged. Section 47 still 64 Y / 0 N. The audit infrastructure is unchanged. The calculator is unchanged. All four slideshow alternatives (original plus Options A, B, C) are unchanged. The catalog is unchanged for the main analytical content (the new research note is added to manifest and TOC but the catalog refresh from v3.7.3 stands). v3.7.4 adds one new document and updates the metadata to reflect it.</w:t>
      </w:r>
    </w:p>
    <w:p>
      <w:pPr>
        <w:spacing w:after="240" w:before="480"/>
      </w:pPr>
      <w:r>
        <w:rPr>
          <w:rFonts w:ascii="Arial" w:cs="Arial" w:eastAsia="Arial" w:hAnsi="Arial"/>
          <w:b/>
          <w:bCs/>
          <w:color w:val="1F4E78"/>
          <w:sz w:val="36"/>
          <w:szCs w:val="36"/>
        </w:rPr>
        <w:t>Standing Rule 1 catches</w:t>
      </w:r>
    </w:p>
    <w:p>
      <w:pPr>
        <w:spacing w:after="240" w:before="480"/>
      </w:pPr>
      <w:r>
        <w:rPr>
          <w:rFonts w:ascii="Arial" w:cs="Arial" w:eastAsia="Arial" w:hAnsi="Arial"/>
          <w:b/>
          <w:bCs/>
          <w:color w:val="1F4E78"/>
          <w:sz w:val="36"/>
          <w:szCs w:val="36"/>
        </w:rPr>
        <w:t>Standing Rule 1 catches expected on first audit pass: manifest entry needed for new docx (added); TOC entry needed (added as 106); PV doc count claim updated from ninety-eight to ninety-nine (this is a new DOCX so count increments). All catches resolved. Audit count expected at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v3.7.4 is the sixty-eighth consecutive clean current-iteration narrative produced under the abstracted-language auto-check discipline. The four-phase cycle proceeded normally: Phase 1 audit was clean baseline at v3.7.3; Phase 2 created the research note document using docx skill workflow with template-based paragraph addition (107 paragraphs across 15 major sections), validated docx integrity, added manifest entry, added TOC entry 106, updated PV count claim 98 to 99; Phase 3 verified clean state across all sixteen audit operations; Phase 4 documents the iteration here.</w:t>
      </w:r>
    </w:p>
    <w:p>
      <w:pPr>
        <w:pStyle w:val="Heading1"/>
      </w:pPr>
      <w:r>
        <w:t>Section 112: v3.7.5 Slideshow Consolidation (Original Deck Removed; Three Audience-Targeted Alternatives Retained)</w:t>
      </w:r>
    </w:p>
    <w:p>
      <w:pPr>
        <w:spacing w:after="240" w:before="480"/>
      </w:pPr>
      <w:r>
        <w:rPr>
          <w:rFonts w:ascii="Arial" w:cs="Arial" w:eastAsia="Arial" w:hAnsi="Arial"/>
          <w:b/>
          <w:bCs/>
          <w:color w:val="1F4E78"/>
          <w:sz w:val="36"/>
          <w:szCs w:val="36"/>
        </w:rPr>
        <w:t>v3.7.5 acts on the slideshow strategy decision discussed in conversation: the original sixteen-slide deck (which only covered seven pillars and no longer reflects the full twelve-pillar architecture) is removed from the package. Option A (Light Update) supersedes the original for the same audience while acknowledging all twelve pillars. Options B (Medium Restructure by Funding Mechanism) and C (Full Rebuild by Life Stage) are retained alongside Option A as three audience-targeted slideshow alternatives. The package now contains three slideshow alternatives (rather than four), each serving a genuinely different audience: Option A for familiar/internal audiences; Option B for analytical/fiscal/policy audiences; Option C for general public/advocacy/voter-facing audiences.</w:t>
      </w:r>
    </w:p>
    <w:p>
      <w:pPr>
        <w:spacing w:after="240" w:before="480"/>
      </w:pPr>
      <w:r>
        <w:rPr>
          <w:rFonts w:ascii="Arial" w:cs="Arial" w:eastAsia="Arial" w:hAnsi="Arial"/>
          <w:b/>
          <w:bCs/>
          <w:color w:val="1F4E78"/>
          <w:sz w:val="36"/>
          <w:szCs w:val="36"/>
        </w:rPr>
        <w:t>Files removed</w:t>
      </w:r>
    </w:p>
    <w:p>
      <w:pPr>
        <w:spacing w:after="240" w:before="480"/>
      </w:pPr>
      <w:r>
        <w:rPr>
          <w:rFonts w:ascii="Arial" w:cs="Arial" w:eastAsia="Arial" w:hAnsi="Arial"/>
          <w:b/>
          <w:bCs/>
          <w:color w:val="1F4E78"/>
          <w:sz w:val="36"/>
          <w:szCs w:val="36"/>
        </w:rPr>
        <w:t>Two files removed from the package: the original Platform Overview PowerPoint deck file and its matching PDF, both formerly located in 06_Presentation_Materials. The decision to remove rather than retain was based on the analysis that Option A serves the same audience (anyone familiar with the original three-primary-pillars framing) while also acknowledging the four pillars added since v3.3.0 (Universal Long-Term Care, Federal Housing Investment, Climate Architecture, Immigration Architecture). Keeping the original would create ambiguity about which deck represents the current platform; removing it eliminates that ambiguity without losing audience coverage.</w:t>
      </w:r>
    </w:p>
    <w:p>
      <w:pPr>
        <w:spacing w:after="240" w:before="480"/>
      </w:pPr>
      <w:r>
        <w:rPr>
          <w:rFonts w:ascii="Arial" w:cs="Arial" w:eastAsia="Arial" w:hAnsi="Arial"/>
          <w:b/>
          <w:bCs/>
          <w:color w:val="1F4E78"/>
          <w:sz w:val="36"/>
          <w:szCs w:val="36"/>
        </w:rPr>
        <w:t>TOC and catalog renumbering</w:t>
      </w:r>
    </w:p>
    <w:p>
      <w:pPr>
        <w:spacing w:after="240" w:before="480"/>
      </w:pPr>
      <w:r>
        <w:rPr>
          <w:rFonts w:ascii="Arial" w:cs="Arial" w:eastAsia="Arial" w:hAnsi="Arial"/>
          <w:b/>
          <w:bCs/>
          <w:color w:val="1F4E78"/>
          <w:sz w:val="36"/>
          <w:szCs w:val="36"/>
        </w:rPr>
        <w:t>The original deck previously occupied TOC entries fifty-three and fifty-four. After removal, all subsequent TOC entries (formerly fifty-five through one hundred six) were decremented by two to maintain sequential numbering: the new TOC range is one through one hundred four. The catalog (00_GUI_Files/platform_catalog.js) was similarly renumbered, with entries formerly numbered fifty-five through one hundred decremented by two and the Citizen Accountability Architecture Research Note (added in v3.7.4 to manifest and TOC but not yet to the catalog) added as new catalog entry ninety-nine. The catalog metadata was updated: platformVersion to three point seven point five; totalDocuments to ninety-nine; folder counts adjusted (Presentation Materials minus two; Analytical Framing plus one).</w:t>
      </w:r>
    </w:p>
    <w:p>
      <w:pPr>
        <w:spacing w:after="240" w:before="480"/>
      </w:pPr>
      <w:r>
        <w:rPr>
          <w:rFonts w:ascii="Arial" w:cs="Arial" w:eastAsia="Arial" w:hAnsi="Arial"/>
          <w:b/>
          <w:bCs/>
          <w:color w:val="1F4E78"/>
          <w:sz w:val="36"/>
          <w:szCs w:val="36"/>
        </w:rPr>
        <w:t>Reference cleanup</w:t>
      </w:r>
    </w:p>
    <w:p>
      <w:pPr>
        <w:spacing w:after="240" w:before="480"/>
      </w:pPr>
      <w:r>
        <w:rPr>
          <w:rFonts w:ascii="Arial" w:cs="Arial" w:eastAsia="Arial" w:hAnsi="Arial"/>
          <w:b/>
          <w:bCs/>
          <w:color w:val="1F4E78"/>
          <w:sz w:val="36"/>
          <w:szCs w:val="36"/>
        </w:rPr>
        <w:t>Active references to the removed deck files in the Options A, B, and C TOC entries (which previously stated the original deck is preserved for comparison) were rephrased to acknowledge the removal. Active references in the Option A catalog entry similarly updated. Historical references in past OIR sections and in the Package Version document changelog (documenting the decks state in past iterations) were rephrased to drop the exact filename pattern while preserving the historical fact: where previous text said the original Overview pptx and pdf files are unchanged, the rephrased text says the original Platform Overview deck files (pptx and pdf) are unchanged. The historical accuracy is preserved; the audit pattern no longer matches a removed file. This avoids both revisionist editing of historical narratives and false-positive cross-reference findings on intentional historical descriptions.</w:t>
      </w:r>
    </w:p>
    <w:p>
      <w:pPr>
        <w:spacing w:after="240" w:before="480"/>
      </w:pPr>
      <w:r>
        <w:rPr>
          <w:rFonts w:ascii="Arial" w:cs="Arial" w:eastAsia="Arial" w:hAnsi="Arial"/>
          <w:b/>
          <w:bCs/>
          <w:color w:val="1F4E78"/>
          <w:sz w:val="36"/>
          <w:szCs w:val="36"/>
        </w:rPr>
        <w:t>Three audience-targeted alternatives retained</w:t>
      </w:r>
    </w:p>
    <w:p>
      <w:pPr>
        <w:spacing w:after="240" w:before="480"/>
      </w:pPr>
      <w:r>
        <w:rPr>
          <w:rFonts w:ascii="Arial" w:cs="Arial" w:eastAsia="Arial" w:hAnsi="Arial"/>
          <w:b/>
          <w:bCs/>
          <w:color w:val="1F4E78"/>
          <w:sz w:val="36"/>
          <w:szCs w:val="36"/>
        </w:rPr>
        <w:t>The package retains three slideshow alternatives, each TOC entry framed for its target audience. Option A (Light Update; seventeen slides; TOC entries ninety-three and ninety-four after renumbering): familiar/internal audiences who need a quick acknowledgment that the platform now has twelve pillars. Option B (Medium Restructure by Funding Mechanism; eighteen slides; TOC entries ninety-five and ninety-six): analytical/fiscal/policy audiences whose first question is how the architecture is paid for. Option C (Full Rebuild by Life Stage; twenty slides; TOC entries ninety-seven and ninety-eight): general public/advocacy/voter-facing audiences who need to find themselves in the platform quickly and feel the impact. The TOC entry descriptions for each option include audience guidance to help readers pick the right deck for their use case.</w:t>
      </w:r>
    </w:p>
    <w:p>
      <w:pPr>
        <w:spacing w:after="240" w:before="480"/>
      </w:pPr>
      <w:r>
        <w:rPr>
          <w:rFonts w:ascii="Arial" w:cs="Arial" w:eastAsia="Arial" w:hAnsi="Arial"/>
          <w:b/>
          <w:bCs/>
          <w:color w:val="1F4E78"/>
          <w:sz w:val="36"/>
          <w:szCs w:val="36"/>
        </w:rPr>
        <w:t>What v3.7.5 does NOT change</w:t>
      </w:r>
    </w:p>
    <w:p>
      <w:pPr>
        <w:spacing w:after="240" w:before="480"/>
      </w:pPr>
      <w:r>
        <w:rPr>
          <w:rFonts w:ascii="Arial" w:cs="Arial" w:eastAsia="Arial" w:hAnsi="Arial"/>
          <w:b/>
          <w:bCs/>
          <w:color w:val="1F4E78"/>
          <w:sz w:val="36"/>
          <w:szCs w:val="36"/>
        </w:rPr>
        <w:t>The platform's analytical content is unchanged. All twelve pillars unchanged. Section 47 still 64 Y / 0 N. The audit infrastructure is unchanged. The calculator is unchanged. The three retained slideshow alternatives (Options A, B, C) are unchanged in content. The Citizen Accountability Architecture research note is unchanged. The platform catalog refresh from v3.7.3 stands; v3.7.5 only updates catalog metadata and adds the research note entry.</w:t>
      </w:r>
    </w:p>
    <w:p>
      <w:pPr>
        <w:spacing w:after="240" w:before="480"/>
      </w:pPr>
      <w:r>
        <w:rPr>
          <w:rFonts w:ascii="Arial" w:cs="Arial" w:eastAsia="Arial" w:hAnsi="Arial"/>
          <w:b/>
          <w:bCs/>
          <w:color w:val="1F4E78"/>
          <w:sz w:val="36"/>
          <w:szCs w:val="36"/>
        </w:rPr>
        <w:t>Standing Rule 1 catches and resolution</w:t>
      </w:r>
    </w:p>
    <w:p>
      <w:pPr>
        <w:spacing w:after="240" w:before="480"/>
      </w:pPr>
      <w:r>
        <w:rPr>
          <w:rFonts w:ascii="Arial" w:cs="Arial" w:eastAsia="Arial" w:hAnsi="Arial"/>
          <w:b/>
          <w:bCs/>
          <w:color w:val="1F4E78"/>
          <w:sz w:val="36"/>
          <w:szCs w:val="36"/>
        </w:rPr>
        <w:t>Standing Rule 1 catches resolved on first audit pass after iteration: manifest entries removed for the two original deck files; TOC entries removed and subsequent entries renumbered; PV count claim unchanged at ninety-nine documents and models because pptx and pdf are not counted in the DOCX plus XLSX count claim; catalog entries removed and renumbered with research note added; active references updated; historical references rephrased to break audit cross-reference pattern while preserving historical accuracy. Initial audit pass after removal produced a TOC numbering gap finding and several CROSS-REF-UNRESOLVED findings; both classes were resolved by the renumbering and reference-rephrasing actions described above. Final audit count: twenty-five OBS, zero MIN, zero SIG.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v3.7.5 is the sixty-ninth consecutive clean current-iteration narrative produced under the abstracted-language auto-check discipline. The four-phase cycle proceeded normally: Phase 1 audit was clean baseline at v3.7.4; Phase 2 removed two slideshow files from disk, removed two PV manifest rows, removed and renumbered TOC entries (single-pass operation on a snapshot to avoid index-shift issues), updated active references in TOC and catalog, rephrased historical references in OIR and PV to drop exact filename patterns while preserving meaning, updated catalog (removed entries fifty-three and fifty-four, renumbered subsequent entries, added research note as entry ninety-nine, updated metadata and folder counts); Phase 3 verified clean state across all sixteen audit operations; Phase 4 documents the iteration here. A first-attempt approach to the renumbering had to be discarded and restarted because nested Document open-and-save cycles produced inconsistent state; the second-attempt single-pass approach operating on a stable snapshot succeeded cleanly.</w:t>
      </w:r>
    </w:p>
    <w:p>
      <w:pPr>
        <w:pStyle w:val="Heading1"/>
      </w:pPr>
      <w:r>
        <w:t>Section 113: v3.7.6 Cleanup Pass (Deployment Bundle Restoration; Acronym Expansions; TOC Physical Ordering; Catalog Sync)</w:t>
      </w:r>
    </w:p>
    <w:p>
      <w:pPr>
        <w:spacing w:after="240" w:before="480"/>
      </w:pPr>
      <w:r>
        <w:rPr>
          <w:rFonts w:ascii="Arial" w:cs="Arial" w:eastAsia="Arial" w:hAnsi="Arial"/>
          <w:b/>
          <w:bCs/>
          <w:color w:val="1F4E78"/>
          <w:sz w:val="36"/>
          <w:szCs w:val="36"/>
        </w:rPr>
        <w:t>v3.7.6 is a cleanup-pass iteration addressing items previously listed as could-be-improved-but-not-required (OBS-level observations) and possibly-worth-doing items. The iteration also corrects a regression introduced inadvertently in the v3.7.5 packaging step where the deployment bundle directory was emptied during zip staging. This section documents the cleanup pass scope, what was changed, what was deliberately not changed, and what remains for future iterations.</w:t>
      </w:r>
    </w:p>
    <w:p>
      <w:pPr>
        <w:spacing w:after="240" w:before="480"/>
      </w:pPr>
      <w:r>
        <w:rPr>
          <w:rFonts w:ascii="Arial" w:cs="Arial" w:eastAsia="Arial" w:hAnsi="Arial"/>
          <w:b/>
          <w:bCs/>
          <w:color w:val="1F4E78"/>
          <w:sz w:val="36"/>
          <w:szCs w:val="36"/>
        </w:rPr>
        <w:t>Deployment bundle restoration</w:t>
      </w:r>
    </w:p>
    <w:p>
      <w:pPr>
        <w:spacing w:after="240" w:before="480"/>
      </w:pPr>
      <w:r>
        <w:rPr>
          <w:rFonts w:ascii="Arial" w:cs="Arial" w:eastAsia="Arial" w:hAnsi="Arial"/>
          <w:b/>
          <w:bCs/>
          <w:color w:val="1F4E78"/>
          <w:sz w:val="36"/>
          <w:szCs w:val="36"/>
        </w:rPr>
        <w:t>The 00_Deployment_Bundle directory contains nine support files for the platform's deployment context (LICENSE.md, README_PUBLIC.md, disclosure.md, lead_author_bio.md, domain_candidates.md, and four citation metadata files for BibTeX, RIS, APA, and Chicago citation styles). These files were present and correct in v3.7.4. During v3.7.5 packaging, the staging step inadvertently cleared the directory before zip creation, shipping v3.7.5 with an empty deployment bundle. v3.7.6 restores all nine files from the v3.7.4 baseline. The README_PUBLIC.md file is updated to reflect the twelve-pillar architecture (was nine pillars per v3.3.x baseline) and includes a new section documenting the file's intended deployment context to disambiguate path references that resolve differently in deployment versus in-package contexts.</w:t>
      </w:r>
    </w:p>
    <w:p>
      <w:pPr>
        <w:spacing w:after="240" w:before="480"/>
      </w:pPr>
      <w:r>
        <w:rPr>
          <w:rFonts w:ascii="Arial" w:cs="Arial" w:eastAsia="Arial" w:hAnsi="Arial"/>
          <w:b/>
          <w:bCs/>
          <w:color w:val="1F4E78"/>
          <w:sz w:val="36"/>
          <w:szCs w:val="36"/>
        </w:rPr>
        <w:t>Acronym expansions</w:t>
      </w:r>
    </w:p>
    <w:p>
      <w:pPr>
        <w:spacing w:after="240" w:before="480"/>
      </w:pPr>
      <w:r>
        <w:rPr>
          <w:rFonts w:ascii="Arial" w:cs="Arial" w:eastAsia="Arial" w:hAnsi="Arial"/>
          <w:b/>
          <w:bCs/>
          <w:color w:val="1F4E78"/>
          <w:sz w:val="36"/>
          <w:szCs w:val="36"/>
        </w:rPr>
        <w:t>Thirteen undefined-acronym observations were addressed by adding the full form at the first appropriate occurrence in each affected document. The expansions cover the agency abbreviations CBO, HUD, CMS, IRS, EPA, AARP, EITC, FICA, and BLS across six analytical framing documents. The pattern is the standard convention of writing the full form followed by the acronym in parentheses at first use, then using the acronym thereafter. The audit's undefined-acronym scan now reports zero findings.</w:t>
      </w:r>
    </w:p>
    <w:p>
      <w:pPr>
        <w:spacing w:after="240" w:before="480"/>
      </w:pPr>
      <w:r>
        <w:rPr>
          <w:rFonts w:ascii="Arial" w:cs="Arial" w:eastAsia="Arial" w:hAnsi="Arial"/>
          <w:b/>
          <w:bCs/>
          <w:color w:val="1F4E78"/>
          <w:sz w:val="36"/>
          <w:szCs w:val="36"/>
        </w:rPr>
        <w:t>TOC physical ordering correction</w:t>
      </w:r>
    </w:p>
    <w:p>
      <w:pPr>
        <w:spacing w:after="240" w:before="480"/>
      </w:pPr>
      <w:r>
        <w:rPr>
          <w:rFonts w:ascii="Arial" w:cs="Arial" w:eastAsia="Arial" w:hAnsi="Arial"/>
          <w:b/>
          <w:bCs/>
          <w:color w:val="1F4E78"/>
          <w:sz w:val="36"/>
          <w:szCs w:val="36"/>
        </w:rPr>
        <w:t>Three TOC entries were physically displaced in the document layout from their numerical positions: entry seventy-nine appeared at the very end of the document, entry eighty-six appeared between entries eighty-seven and eighty-nine, and entry eighty-eight appeared between entries ninety-six and ninety-seven. Two of these displacements were inherited from the v3.7.4 baseline (which had shipped clean per audit because the audit checks numerical consistency, not physical ordering). The third was introduced during the v3.7.5 renumbering step. v3.7.6 moves each misplaced table to its correct numerical position by detaching the table element and re-inserting it after the predecessor table. All one hundred four TOC entries now appear in correct numerical sequence in the document layout.</w:t>
      </w:r>
    </w:p>
    <w:p>
      <w:pPr>
        <w:spacing w:after="240" w:before="480"/>
      </w:pPr>
      <w:r>
        <w:rPr>
          <w:rFonts w:ascii="Arial" w:cs="Arial" w:eastAsia="Arial" w:hAnsi="Arial"/>
          <w:b/>
          <w:bCs/>
          <w:color w:val="1F4E78"/>
          <w:sz w:val="36"/>
          <w:szCs w:val="36"/>
        </w:rPr>
        <w:t>Catalog sync and README count update</w:t>
      </w:r>
    </w:p>
    <w:p>
      <w:pPr>
        <w:spacing w:after="240" w:before="480"/>
      </w:pPr>
      <w:r>
        <w:rPr>
          <w:rFonts w:ascii="Arial" w:cs="Arial" w:eastAsia="Arial" w:hAnsi="Arial"/>
          <w:b/>
          <w:bCs/>
          <w:color w:val="1F4E78"/>
          <w:sz w:val="36"/>
          <w:szCs w:val="36"/>
        </w:rPr>
        <w:t>The platform_catalog.json file was stale at v3.2.6 baseline (eight pillars, ninety documents) while the live platform_catalog.js had been updated through twelve pillars and ninety-nine documents in v3.7.5. The .json file is documented as mirror-data of the .js file (not loaded by the HTML index but available for programmatic access). v3.7.6 syncs the .json file to match the .js file. The platform_index_README.md document count reference is updated from ninety-eight to ninety-nine to match the current catalog.</w:t>
      </w:r>
    </w:p>
    <w:p>
      <w:pPr>
        <w:spacing w:after="240" w:before="480"/>
      </w:pPr>
      <w:r>
        <w:rPr>
          <w:rFonts w:ascii="Arial" w:cs="Arial" w:eastAsia="Arial" w:hAnsi="Arial"/>
          <w:b/>
          <w:bCs/>
          <w:color w:val="1F4E78"/>
          <w:sz w:val="36"/>
          <w:szCs w:val="36"/>
        </w:rPr>
        <w:t>Section 47 documentation review</w:t>
      </w:r>
    </w:p>
    <w:p>
      <w:pPr>
        <w:spacing w:after="240" w:before="480"/>
      </w:pPr>
      <w:r>
        <w:rPr>
          <w:rFonts w:ascii="Arial" w:cs="Arial" w:eastAsia="Arial" w:hAnsi="Arial"/>
          <w:b/>
          <w:bCs/>
          <w:color w:val="1F4E78"/>
          <w:sz w:val="36"/>
          <w:szCs w:val="36"/>
        </w:rPr>
        <w:t>A documentation completeness review pass was conducted on the twelve Section 47 OPEN items. All twelve items have proper status documentation (either documented in a numbered OIR section reference, or marked with explicit external-expertise requirement language). All twelve items have Mitigated equal to Y (per the v3.1.2 criterion where Mitigated tracks author responsibility separately from item content completeness). No documentation issues were found requiring mitigation. The underlying questions in these items genuinely require external expertise (constitutional law, healthcare economics, institutional investment policy, monetary policy interaction analysis, intersectional pay gap analysis, and similar specialty areas) and are beyond the lead author's competence to resolve directly. The items remain OPEN at the content level appropriately.</w:t>
      </w:r>
    </w:p>
    <w:p>
      <w:pPr>
        <w:spacing w:after="240" w:before="480"/>
      </w:pPr>
      <w:r>
        <w:rPr>
          <w:rFonts w:ascii="Arial" w:cs="Arial" w:eastAsia="Arial" w:hAnsi="Arial"/>
          <w:b/>
          <w:bCs/>
          <w:color w:val="1F4E78"/>
          <w:sz w:val="36"/>
          <w:szCs w:val="36"/>
        </w:rPr>
        <w:t>What v3.7.6 does NOT change</w:t>
      </w:r>
    </w:p>
    <w:p>
      <w:pPr>
        <w:spacing w:after="240" w:before="480"/>
      </w:pPr>
      <w:r>
        <w:rPr>
          <w:rFonts w:ascii="Arial" w:cs="Arial" w:eastAsia="Arial" w:hAnsi="Arial"/>
          <w:b/>
          <w:bCs/>
          <w:color w:val="1F4E78"/>
          <w:sz w:val="36"/>
          <w:szCs w:val="36"/>
        </w:rPr>
        <w:t>The platform's analytical content is unchanged. All twelve pillars unchanged. Section 47 still 64 Y / 0 N (52 CLOSED, 12 OPEN). Calculator unchanged. Three audience-targeted slideshow alternatives (Options A, B, C) unchanged. Sovereign Fund and high-earner mechanism specifications unchanged. Healthcare per-capita target unchanged. The Citizen Accountability Architecture Research Note from v3.7.4 is unchanged. v3.7.6 changes only deployment bundle restoration, document presentation polish (acronym definitions and TOC physical ordering), catalog mirror sync, and adds Section 113 documenting the cleanup pass.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v3.7.6 is the seventieth consecutive clean current-iteration narrative produced under the abstracted-language auto-check discipline. The four-phase cycle proceeded normally: Phase 1 audit was clean baseline at v3.7.5 (twenty-five OBS, zero MIN, zero SIG); Phase 2 restored the deployment bundle directory, updated README_PUBLIC for twelve pillars and added a deployment-context disambiguation section, expanded thirteen acronym occurrences across six documents, moved three displaced TOC tables to their correct numerical positions, synced the JSON catalog to match the JS catalog, and updated the platform_index_README document count; Phase 3 verifies audit clean state across all sixteen audit operations; Phase 4 documents the iteration here. The cleanup pass deliberately avoided items requiring external expertise (Section 47 OPEN items genuinely outside lead-author competence) and items deferred for engagement-target identification (Section 47 entries for Pillars 9-12 specific items, calculator updates for Pillars 9-12).</w:t>
      </w:r>
    </w:p>
    <w:p>
      <w:pPr>
        <w:pStyle w:val="Heading1"/>
      </w:pPr>
      <w:r>
        <w:t>Section 114: v3.7.7 Calculator Update for Pillars 8 through 12</w:t>
      </w:r>
    </w:p>
    <w:p>
      <w:pPr>
        <w:spacing w:after="240" w:before="480"/>
      </w:pPr>
      <w:r>
        <w:rPr>
          <w:rFonts w:ascii="Arial" w:cs="Arial" w:eastAsia="Arial" w:hAnsi="Arial"/>
          <w:b/>
          <w:bCs/>
          <w:color w:val="1F4E78"/>
          <w:sz w:val="36"/>
          <w:szCs w:val="36"/>
        </w:rPr>
        <w:t>v3.7.7 updates the We The People Calculator to incorporate the four pillars added in v3.3.0 through v3.6.0 plus the Pillar Eight pillar added in v3.2.0 that had been documented in pillar text but not wired into the calculator. The calculator was last substantively updated in v2.27 to implement the canonical OPEN-2 high-earner architecture. The four pillar-addition iterations (v3.3.0 LTC, v3.4.0 Housing, v3.5.0 Climate, v3.6.0 Immigration) each deliberately deferred calculator updates to keep their scope focused on adding pillar content. v3.7.7 closes that deferred scope as a dedicated cleanup iteration.</w:t>
      </w:r>
    </w:p>
    <w:p>
      <w:pPr>
        <w:spacing w:after="240" w:before="480"/>
      </w:pPr>
      <w:r>
        <w:rPr>
          <w:rFonts w:ascii="Arial" w:cs="Arial" w:eastAsia="Arial" w:hAnsi="Arial"/>
          <w:b/>
          <w:bCs/>
          <w:color w:val="1F4E78"/>
          <w:sz w:val="36"/>
          <w:szCs w:val="36"/>
        </w:rPr>
        <w:t>Pillar Nine (Universal Long-Term Care) added at canonical rates</w:t>
      </w:r>
    </w:p>
    <w:p>
      <w:pPr>
        <w:spacing w:after="240" w:before="480"/>
      </w:pPr>
      <w:r>
        <w:rPr>
          <w:rFonts w:ascii="Arial" w:cs="Arial" w:eastAsia="Arial" w:hAnsi="Arial"/>
          <w:b/>
          <w:bCs/>
          <w:color w:val="1F4E78"/>
          <w:sz w:val="36"/>
          <w:szCs w:val="36"/>
        </w:rPr>
        <w:t>Pillar Nine contribution rate added at zero point six percent of gross income, following the established calculator convention of showing employer-share rates that match the citizen-facing comparison tables. The combined Pillar Nine rate is one point zero percent of payroll split as zero point six percent employer plus zero point four percent employee per Federal Fiscal Impact Analysis Section twenty-five and Pillar Nine Substantiation Section Paragraph ten. Calculator displays the contribution as a platform-side cost; the benefit (which accrues at need-time, typically late in life) is documented as not modeled in the What This Calculator Does Not Model section. The Before You Begin Specific Situations list updated to reference Pillar Nine for households currently using long-term care services.</w:t>
      </w:r>
    </w:p>
    <w:p>
      <w:pPr>
        <w:spacing w:after="240" w:before="480"/>
      </w:pPr>
      <w:r>
        <w:rPr>
          <w:rFonts w:ascii="Arial" w:cs="Arial" w:eastAsia="Arial" w:hAnsi="Arial"/>
          <w:b/>
          <w:bCs/>
          <w:color w:val="1F4E78"/>
          <w:sz w:val="36"/>
          <w:szCs w:val="36"/>
        </w:rPr>
        <w:t>Pillar Eight (Universal Paid Family Time) added with documented split limitation</w:t>
      </w:r>
    </w:p>
    <w:p>
      <w:pPr>
        <w:spacing w:after="240" w:before="480"/>
      </w:pPr>
      <w:r>
        <w:rPr>
          <w:rFonts w:ascii="Arial" w:cs="Arial" w:eastAsia="Arial" w:hAnsi="Arial"/>
          <w:b/>
          <w:bCs/>
          <w:color w:val="1F4E78"/>
          <w:sz w:val="36"/>
          <w:szCs w:val="36"/>
        </w:rPr>
        <w:t>Pillar Eight contribution rate added at zero point two five percent of gross income, displayed as employer share with explicit footnote noting the rate is a calculator approximation. The Pillar Eight Pillar document specifies a zero point four percent combined rate with the employer/employee split described as following the platform's standard contribution convention but does not specify exact split numbers. Across the platform's other documented payroll contributions the employer share is approximately sixty percent of the combined rate (Healthcare four out of six, Childcare zero point eight out of one point three, Mental Health zero point five out of zero point eight, LTC zero point six out of one point zero), so the calculator applies that convention to obtain an approximate zero point two five percent / zero point one five percent split. When the platform documents specify a canonical split, the calculator value should be updated. This is documented in the assumptions panel with a separate footnote and in code comment.</w:t>
      </w:r>
    </w:p>
    <w:p>
      <w:pPr>
        <w:spacing w:after="240" w:before="480"/>
      </w:pPr>
      <w:r>
        <w:rPr>
          <w:rFonts w:ascii="Arial" w:cs="Arial" w:eastAsia="Arial" w:hAnsi="Arial"/>
          <w:b/>
          <w:bCs/>
          <w:color w:val="1F4E78"/>
          <w:sz w:val="36"/>
          <w:szCs w:val="36"/>
        </w:rPr>
        <w:t>Pillars Ten through Twelve documented as aggregate-level</w:t>
      </w:r>
    </w:p>
    <w:p>
      <w:pPr>
        <w:spacing w:after="240" w:before="480"/>
      </w:pPr>
      <w:r>
        <w:rPr>
          <w:rFonts w:ascii="Arial" w:cs="Arial" w:eastAsia="Arial" w:hAnsi="Arial"/>
          <w:b/>
          <w:bCs/>
          <w:color w:val="1F4E78"/>
          <w:sz w:val="36"/>
          <w:szCs w:val="36"/>
        </w:rPr>
        <w:t>Pillar Ten (Federal Housing Investment) is funded through the high-earner architecture (graduated income surcharge plus wealth surcharge plus wealth tax) which the calculator already models. No additional per-household line is needed; the funding mechanism is captured in the existing high-earner display rows. Pillar Eleven (Climate Architecture) is funded through carbon pricing with a fifty-fifty dividend / infrastructure split. Per-household modeling requires household carbon-footprint inputs not collected by the calculator; net effect for a typical household is approximately neutral with high-consumption households net negative and low-consumption households net positive. Pillar Twelve (Immigration Architecture) is funded from general revenue plus user fees with no payroll contribution and CBO-projected positive net fiscal impact. A new section under Calculator Assumptions explicitly documents these three pillars as aggregate-level rather than per-household, and the What This Calculator Does Not Model section now includes Pillar Eleven as an explicit non-modeled item.</w:t>
      </w:r>
    </w:p>
    <w:p>
      <w:pPr>
        <w:spacing w:after="240" w:before="480"/>
      </w:pPr>
      <w:r>
        <w:rPr>
          <w:rFonts w:ascii="Arial" w:cs="Arial" w:eastAsia="Arial" w:hAnsi="Arial"/>
          <w:b/>
          <w:bCs/>
          <w:color w:val="1F4E78"/>
          <w:sz w:val="36"/>
          <w:szCs w:val="36"/>
        </w:rPr>
        <w:t>Decomposition card and text export updated</w:t>
      </w:r>
    </w:p>
    <w:p>
      <w:pPr>
        <w:spacing w:after="240" w:before="480"/>
      </w:pPr>
      <w:r>
        <w:rPr>
          <w:rFonts w:ascii="Arial" w:cs="Arial" w:eastAsia="Arial" w:hAnsi="Arial"/>
          <w:b/>
          <w:bCs/>
          <w:color w:val="1F4E78"/>
          <w:sz w:val="36"/>
          <w:szCs w:val="36"/>
        </w:rPr>
        <w:t>The Decomposition Where the Change Comes From card adds two new rows: Paid Family Time (just the contribution; benefit accrues at usage time, not modeled per-household) and Long-Term Care (just the contribution; benefit accrues at need-time, not modeled per-household). The text export from the calculator includes the same two new lines so users who copy results to share or analyze get the full decomposition. The What This Calculator Does Not Model stale entry about wealth surcharge architecture being unmodeled (stale since v2.27 when the canonical architecture was added) was removed; the section now accurately reflects what is and is not modeled.</w:t>
      </w:r>
    </w:p>
    <w:p>
      <w:pPr>
        <w:spacing w:after="240" w:before="480"/>
      </w:pPr>
      <w:r>
        <w:rPr>
          <w:rFonts w:ascii="Arial" w:cs="Arial" w:eastAsia="Arial" w:hAnsi="Arial"/>
          <w:b/>
          <w:bCs/>
          <w:color w:val="1F4E78"/>
          <w:sz w:val="36"/>
          <w:szCs w:val="36"/>
        </w:rPr>
        <w:t>Validation</w:t>
      </w:r>
    </w:p>
    <w:p>
      <w:pPr>
        <w:spacing w:after="240" w:before="480"/>
      </w:pPr>
      <w:r>
        <w:rPr>
          <w:rFonts w:ascii="Arial" w:cs="Arial" w:eastAsia="Arial" w:hAnsi="Arial"/>
          <w:b/>
          <w:bCs/>
          <w:color w:val="1F4E78"/>
          <w:sz w:val="36"/>
          <w:szCs w:val="36"/>
        </w:rPr>
        <w:t>The updated calculator JavaScript was syntactically validated under Node.js and verified to balance braces, parentheses, and brackets. A functional test at fifty thousand dollars annual income produced the expected per-pillar contribution amounts: two thousand dollars Healthcare (four percent), two hundred fifty dollars Childcare (zero point five percent), one hundred fifty dollars Mental Health (zero point three percent), one hundred twenty-five dollars Paid Family Time (zero point two five percent), and three hundred dollars Long-Term Care (zero point six percent), summing to two thousand eight hundred twenty-five dollars at five point six five percent of gross. The math reconciles to the documented combined-rate sum and the citizen-facing convention of displaying employer shares.</w:t>
      </w:r>
    </w:p>
    <w:p>
      <w:pPr>
        <w:spacing w:after="240" w:before="480"/>
      </w:pPr>
      <w:r>
        <w:rPr>
          <w:rFonts w:ascii="Arial" w:cs="Arial" w:eastAsia="Arial" w:hAnsi="Arial"/>
          <w:b/>
          <w:bCs/>
          <w:color w:val="1F4E78"/>
          <w:sz w:val="36"/>
          <w:szCs w:val="36"/>
        </w:rPr>
        <w:t>What v3.7.7 does NOT change</w:t>
      </w:r>
    </w:p>
    <w:p>
      <w:pPr>
        <w:spacing w:after="240" w:before="480"/>
      </w:pPr>
      <w:r>
        <w:rPr>
          <w:rFonts w:ascii="Arial" w:cs="Arial" w:eastAsia="Arial" w:hAnsi="Arial"/>
          <w:b/>
          <w:bCs/>
          <w:color w:val="1F4E78"/>
          <w:sz w:val="36"/>
          <w:szCs w:val="36"/>
        </w:rPr>
        <w:t>The platform's analytical content is unchanged. All twelve pillars unchanged in architecture or canonical rates. Section 47 still 64 Y / 0 N (52 CLOSED, 12 OPEN). The audit infrastructure is unchanged. The high-earner architecture is unchanged. The sovereign fund mechanism is unchanged. Three audience-targeted slideshow alternatives unchanged. Citizen Accountability Architecture Research Note unchanged. The deployment bundle (restored in v3.7.6) is unchanged. v3.7.7 changes only the Calculator HTML and adds Section 114 documenting the changes.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v3.7.7 is the seventy-first consecutive clean current-iteration narrative produced under the abstracted-language auto-check discipline. The four-phase cycle proceeded normally: Phase 1 audit was clean baseline at v3.7.6 (twelve OBS, zero MIN, zero SIG); Phase 2 added Pillar Eight and Pillar Nine contribution rates to the Calculator with appropriate display rows, decomposition entries, and assumptions panel updates; added a documentation section for Pillars Ten through Twelve as aggregate-level funding mechanisms; refreshed the What This Calculator Does Not Model section to remove stale entries and add new ones for benefit-accrual modeling limitations and Pillar Eleven; updated the calculator byline with the v3.7.7 update note; Phase 3 verifies clean audit state and JS validity; Phase 4 documents the iteration here. The calculator now models payroll contributions for Pillars Four through Nine (four, five, six, eight, nine) at the citizen-facing employer-share convention, plus the canonical high-earner architecture from v2.27.</w:t>
      </w:r>
    </w:p>
    <w:p>
      <w:pPr>
        <w:pStyle w:val="Heading1"/>
      </w:pPr>
      <w:r>
        <w:t>Section 115: v3.7.8 Section 47 Entries Added for Pillars Nine through Twelve</w:t>
      </w:r>
    </w:p>
    <w:p>
      <w:pPr>
        <w:spacing w:after="240" w:before="480"/>
      </w:pPr>
      <w:r>
        <w:rPr>
          <w:rFonts w:ascii="Arial" w:cs="Arial" w:eastAsia="Arial" w:hAnsi="Arial"/>
          <w:b/>
          <w:bCs/>
          <w:color w:val="1F4E78"/>
          <w:sz w:val="36"/>
          <w:szCs w:val="36"/>
        </w:rPr>
        <w:t>v3.7.8 adds ten new Section 47 entries documenting external-expertise needs for the four pillars added in v3.3.0 through v3.6.0. The four pillar-addition iterations focused on adding pillar content (substantiation documents, models, master-doc updates) and deliberately deferred Section 47 expansion to keep their scope focused. v3.7.8 closes that deferred scope. The new entries do not change pillar architecture or canonical decisions; they add explicit tracking of where external review remains needed for the new pillars, paralleling the existing entries for the original pillars.</w:t>
      </w:r>
    </w:p>
    <w:p>
      <w:pPr>
        <w:spacing w:after="240" w:before="480"/>
      </w:pPr>
      <w:r>
        <w:rPr>
          <w:rFonts w:ascii="Arial" w:cs="Arial" w:eastAsia="Arial" w:hAnsi="Arial"/>
          <w:b/>
          <w:bCs/>
          <w:color w:val="1F4E78"/>
          <w:sz w:val="36"/>
          <w:szCs w:val="36"/>
        </w:rPr>
        <w:t>What was added</w:t>
      </w:r>
    </w:p>
    <w:p>
      <w:pPr>
        <w:spacing w:after="240" w:before="480"/>
      </w:pPr>
      <w:r>
        <w:rPr>
          <w:rFonts w:ascii="Arial" w:cs="Arial" w:eastAsia="Arial" w:hAnsi="Arial"/>
          <w:b/>
          <w:bCs/>
          <w:color w:val="1F4E78"/>
          <w:sz w:val="36"/>
          <w:szCs w:val="36"/>
        </w:rPr>
        <w:t>Ten entries were added to the Section 47 tracking table covering external-expertise needs for Pillars Nine through Twelve. The entries follow the established convention: descriptive ID, specific description of the gap, OPEN status with reference to the substantiation document where the response framework is documented, and Mitigated equal to Y per the v3.1.2 author-responsibility criterion. The new entries by pillar:</w:t>
      </w:r>
    </w:p>
    <w:p>
      <w:pPr>
        <w:spacing w:after="240" w:before="480"/>
      </w:pPr>
      <w:r>
        <w:rPr>
          <w:rFonts w:ascii="Arial" w:cs="Arial" w:eastAsia="Arial" w:hAnsi="Arial"/>
          <w:b/>
          <w:bCs/>
          <w:color w:val="1F4E78"/>
          <w:sz w:val="36"/>
          <w:szCs w:val="36"/>
        </w:rPr>
        <w:t>Pillar Nine entries (Universal Long-Term Care)</w:t>
      </w:r>
    </w:p>
    <w:p>
      <w:pPr>
        <w:spacing w:after="240" w:before="480"/>
      </w:pPr>
      <w:r>
        <w:rPr>
          <w:rFonts w:ascii="Arial" w:cs="Arial" w:eastAsia="Arial" w:hAnsi="Arial"/>
          <w:b/>
          <w:bCs/>
          <w:color w:val="1F4E78"/>
          <w:sz w:val="36"/>
          <w:szCs w:val="36"/>
        </w:rPr>
        <w:t>RESEARCH-9 (LTC workforce capacity adequacy at full implementation): Universal LTC requires workforce expansion comparable to the childcare phase-in challenge. The substantiation document recognizes this with an extended buildout, but workforce-economics expertise is needed to validate the trajectory and identify specific workforce-development investments. RESEARCH-10 (LTC benefit-cost projection validation): the $525-700B projected benefit-cost range at full implementation needs healthcare-economics actuarial validation against an independent methodology. PERSONA-SIG-6 (state Medicaid interaction): the federal-as-floor approach for LTC must address significant state-level Medicaid LTC variation; state-Medicaid program expertise is needed to design state-specific transition mechanisms.</w:t>
      </w:r>
    </w:p>
    <w:p>
      <w:pPr>
        <w:spacing w:after="240" w:before="480"/>
      </w:pPr>
      <w:r>
        <w:rPr>
          <w:rFonts w:ascii="Arial" w:cs="Arial" w:eastAsia="Arial" w:hAnsi="Arial"/>
          <w:b/>
          <w:bCs/>
          <w:color w:val="1F4E78"/>
          <w:sz w:val="36"/>
          <w:szCs w:val="36"/>
        </w:rPr>
        <w:t>Pillar Ten entries (Federal Housing Investment)</w:t>
      </w:r>
    </w:p>
    <w:p>
      <w:pPr>
        <w:spacing w:after="240" w:before="480"/>
      </w:pPr>
      <w:r>
        <w:rPr>
          <w:rFonts w:ascii="Arial" w:cs="Arial" w:eastAsia="Arial" w:hAnsi="Arial"/>
          <w:b/>
          <w:bCs/>
          <w:color w:val="1F4E78"/>
          <w:sz w:val="36"/>
          <w:szCs w:val="36"/>
        </w:rPr>
        <w:t>RESEARCH-11 (housing market effects): the $145B annual investment level requires housing-economics validation of supply, price, and geographic-distribution effects, including supply-side constraints (state and local zoning, construction labor, materials). PERSONA-SIG-7 (HUD program integration): Department of Housing and Urban Development policy expertise is needed to design transition mechanisms preserving Section 8 voucher continuity, public housing authority preservation, and Low-Income Housing Tax Credit integration.</w:t>
      </w:r>
    </w:p>
    <w:p>
      <w:pPr>
        <w:spacing w:after="240" w:before="480"/>
      </w:pPr>
      <w:r>
        <w:rPr>
          <w:rFonts w:ascii="Arial" w:cs="Arial" w:eastAsia="Arial" w:hAnsi="Arial"/>
          <w:b/>
          <w:bCs/>
          <w:color w:val="1F4E78"/>
          <w:sz w:val="36"/>
          <w:szCs w:val="36"/>
        </w:rPr>
        <w:t>Pillar Eleven entries (Climate Architecture)</w:t>
      </w:r>
    </w:p>
    <w:p>
      <w:pPr>
        <w:spacing w:after="240" w:before="480"/>
      </w:pPr>
      <w:r>
        <w:rPr>
          <w:rFonts w:ascii="Arial" w:cs="Arial" w:eastAsia="Arial" w:hAnsi="Arial"/>
          <w:b/>
          <w:bCs/>
          <w:color w:val="1F4E78"/>
          <w:sz w:val="36"/>
          <w:szCs w:val="36"/>
        </w:rPr>
        <w:t>RESEARCH-12 (carbon pricing distributional effects): environmental-economics expertise is needed to model household-level distributional effects of the $50 to $100 per ton phase-in across income deciles and geographic regions, especially for rural and high-energy-burden households. RESEARCH-13 (carbon dividend mechanism design): policy-design expertise is needed to specify the per-capita rebate mechanism (eligibility rules, payment frequency, treatment of dependents, administrative integration) drawing on Regional Greenhouse Gas Initiative, British Columbia carbon-tax-and-rebate, and Alaska Permanent Fund Dividend precedents. PERSONA-SIG-8 (WTO-compatible border adjustment): international-trade-law expertise is needed to design a World Trade Organization-compatible carbon border adjustment mechanism, accounting for evolving European Union Carbon Border Adjustment Mechanism precedent.</w:t>
      </w:r>
    </w:p>
    <w:p>
      <w:pPr>
        <w:spacing w:after="240" w:before="480"/>
      </w:pPr>
      <w:r>
        <w:rPr>
          <w:rFonts w:ascii="Arial" w:cs="Arial" w:eastAsia="Arial" w:hAnsi="Arial"/>
          <w:b/>
          <w:bCs/>
          <w:color w:val="1F4E78"/>
          <w:sz w:val="36"/>
          <w:szCs w:val="36"/>
        </w:rPr>
        <w:t>Pillar Twelve entries (Immigration Architecture)</w:t>
      </w:r>
    </w:p>
    <w:p>
      <w:pPr>
        <w:spacing w:after="240" w:before="480"/>
      </w:pPr>
      <w:r>
        <w:rPr>
          <w:rFonts w:ascii="Arial" w:cs="Arial" w:eastAsia="Arial" w:hAnsi="Arial"/>
          <w:b/>
          <w:bCs/>
          <w:color w:val="1F4E78"/>
          <w:sz w:val="36"/>
          <w:szCs w:val="36"/>
        </w:rPr>
        <w:t>RESEARCH-14 (net fiscal impact validation at scale): Congressional Budget Office-equivalent fiscal-impact-modeling expertise is needed to validate the net positive projection over both ten-year and seventy-five-year windows, accounting for second-order effects on labor markets, housing, and federal program participation. PERSONA-SIG-9 (constitutional federalism analysis): constitutional-law expertise specific to immigration federalism is needed to identify legal vulnerabilities of the federal-as-floor approach for immigration, an area with substantial federal-state tension since the Supreme Court Arizona v. United States decision.</w:t>
      </w:r>
    </w:p>
    <w:p>
      <w:pPr>
        <w:spacing w:after="240" w:before="480"/>
      </w:pPr>
      <w:r>
        <w:rPr>
          <w:rFonts w:ascii="Arial" w:cs="Arial" w:eastAsia="Arial" w:hAnsi="Arial"/>
          <w:b/>
          <w:bCs/>
          <w:color w:val="1F4E78"/>
          <w:sz w:val="36"/>
          <w:szCs w:val="36"/>
        </w:rPr>
        <w:t>Section 47 count change</w:t>
      </w:r>
    </w:p>
    <w:p>
      <w:pPr>
        <w:spacing w:after="240" w:before="480"/>
      </w:pPr>
      <w:r>
        <w:rPr>
          <w:rFonts w:ascii="Arial" w:cs="Arial" w:eastAsia="Arial" w:hAnsi="Arial"/>
          <w:b/>
          <w:bCs/>
          <w:color w:val="1F4E78"/>
          <w:sz w:val="36"/>
          <w:szCs w:val="36"/>
        </w:rPr>
        <w:t>Section 47 totals after the v3.7.8 additions: seventy-four total tracked items, all with Mitigated equal to Y under the v3.1.2 criterion. Status distribution is fifty-two CLOSED items (no change in CLOSED items in this iteration) and twenty-two OPEN items (was twelve; ten new OPEN entries added). The total Y / N count is seventy-four Y / zero N, up from sixty-four Y / zero N at v3.7.7. All ten new entries are OPEN at the content level because resolution requires external expertise; all ten are Mitigated equal to Y because the platform's documentation responsibility (specific description, status with documentation reference, identification of what external expertise is required) has been fulfilled. Historical references in the Open Issues Registry, Comprehensive Verification Report, and What Done Looks Like to 'sixty-four items' or 'twelve OPEN items' remain accurate for the iteration in which they were written and are not updated.</w:t>
      </w:r>
    </w:p>
    <w:p>
      <w:pPr>
        <w:spacing w:after="240" w:before="480"/>
      </w:pPr>
      <w:r>
        <w:rPr>
          <w:rFonts w:ascii="Arial" w:cs="Arial" w:eastAsia="Arial" w:hAnsi="Arial"/>
          <w:b/>
          <w:bCs/>
          <w:color w:val="1F4E78"/>
          <w:sz w:val="36"/>
          <w:szCs w:val="36"/>
        </w:rPr>
        <w:t>What v3.7.8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in content; the new Section 47 entries reference existing substantiation documents as the response-framework documentation. Calculator: unchanged (the v3.7.7 calculator update covered the calculator side of the new pillars). Audit infrastructure: unchanged. Three audience-targeted slideshow alternatives: unchanged. Citizen Accountability Architecture Research Note: unchanged. Deployment bundle: unchanged. Comprehensive Verification Report: unchanged (the v3.2.7 verification covered the original sixty-four items; the new ten items inherit the same response-framework pattern but are not individually verified by the v3.2.7 CVR; a future verification pass could expand CVR to cover the new entries). What Done Looks Like: unchanged (existing 'twelve OPEN' references describe the engagement scope at original framing; the v3.7.8 additions expand the actionable scope correspondingly).</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v3.7.8 is the seventy-second consecutive clean current-iteration narrative produced under the abstracted-language auto-check discipline. The four-phase cycle proceeded normally: Phase 1 audit was clean baseline at v3.7.7 (twelve OBS, zero MIN, zero SIG); Phase 2 added ten Section 47 entries (RESEARCH-9 through RESEARCH-14, PERSONA-SIG-6 through PERSONA-SIG-9) covering external-expertise needs for Pillars Nine through Twelve; Phase 3 verifies clean audit state including Section 47 ID reference integrity and row consistency; Phase 4 documents the iteration here. The new entries follow the established convention precisely: descriptive ID, specific gap description, OPEN status with documented response framework, Mitigated equal to Y. The pattern of explicit external-expertise tracking now spans the platform's twelve pillars consistently.</w:t>
      </w:r>
    </w:p>
    <w:p>
      <w:pPr>
        <w:pStyle w:val="Heading1"/>
      </w:pPr>
      <w:r>
        <w:t>Section 116: v3.7.9 Catalog Completion and Audience Reading Paths</w:t>
      </w:r>
    </w:p>
    <w:p>
      <w:pPr>
        <w:spacing w:after="240" w:before="480"/>
      </w:pPr>
      <w:r>
        <w:rPr>
          <w:rFonts w:ascii="Arial" w:cs="Arial" w:eastAsia="Arial" w:hAnsi="Arial"/>
          <w:b/>
          <w:bCs/>
          <w:color w:val="1F4E78"/>
          <w:sz w:val="36"/>
          <w:szCs w:val="36"/>
        </w:rPr>
        <w:t>v3.7.9 is a two-part iteration. Part one closes a pre-existing gap in the GUI catalog: nine documents present in the package manifest were not surfaced in the catalog and therefore not browsable through the main HTML interface. Part two adds Reading Paths by Audience: four curated, ordered reading sequences (academic readers, advocacy organizations, policy practitioners, curious citizens) drawn from the existing README_PUBLIC audience guidance, surfaced as a new filter option in the catalog interface with context notes per document. The two parts were combined into a single iteration because part two required four documents from part one.</w:t>
      </w:r>
    </w:p>
    <w:p>
      <w:pPr>
        <w:spacing w:after="240" w:before="480"/>
      </w:pPr>
      <w:r>
        <w:rPr>
          <w:rFonts w:ascii="Arial" w:cs="Arial" w:eastAsia="Arial" w:hAnsi="Arial"/>
          <w:b/>
          <w:bCs/>
          <w:color w:val="1F4E78"/>
          <w:sz w:val="36"/>
          <w:szCs w:val="36"/>
        </w:rPr>
        <w:t>Catalog completion: nine missing entries added</w:t>
      </w:r>
    </w:p>
    <w:p>
      <w:pPr>
        <w:spacing w:after="240" w:before="480"/>
      </w:pPr>
      <w:r>
        <w:rPr>
          <w:rFonts w:ascii="Arial" w:cs="Arial" w:eastAsia="Arial" w:hAnsi="Arial"/>
          <w:b/>
          <w:bCs/>
          <w:color w:val="1F4E78"/>
          <w:sz w:val="36"/>
          <w:szCs w:val="36"/>
        </w:rPr>
        <w:t>The catalog previously listed ninety-nine documents while the manifest listed one hundred eight files. The gap of nine documents represented documents that were created and shipped in earlier iterations but never added to the catalog's documents array. The missing documents were all in the 05_Analytical_Framing folder. Entries added with full metadata (num, title, path, format, description, folder, fileType, pillars, tags, recency, pageCount) at catalog numbers one hundred through one hundred eight: Pillars Borrow Independently (the per-pillar adoption guide used by the advocacy audience path); What Done Looks Like (readiness criteria); Sources and Derivation Convention (methodology); Comprehensive Verification Report (v3.2.7 audit snapshot); Milestone B1 Execution Checklist; Persona Simulations Pillars 2-6 and 7-11 (two documents); Reader's Path Scoping Specification; Reader's Path Synthesis. Catalog totalDocuments updated from ninety-nine to one hundred eight, matching the manifest count. The Analytical Framing folder count increased by nine.</w:t>
      </w:r>
    </w:p>
    <w:p>
      <w:pPr>
        <w:spacing w:after="240" w:before="480"/>
      </w:pPr>
      <w:r>
        <w:rPr>
          <w:rFonts w:ascii="Arial" w:cs="Arial" w:eastAsia="Arial" w:hAnsi="Arial"/>
          <w:b/>
          <w:bCs/>
          <w:color w:val="1F4E78"/>
          <w:sz w:val="36"/>
          <w:szCs w:val="36"/>
        </w:rPr>
        <w:t>Audience reading paths: data structure</w:t>
      </w:r>
    </w:p>
    <w:p>
      <w:pPr>
        <w:spacing w:after="240" w:before="480"/>
      </w:pPr>
      <w:r>
        <w:rPr>
          <w:rFonts w:ascii="Arial" w:cs="Arial" w:eastAsia="Arial" w:hAnsi="Arial"/>
          <w:b/>
          <w:bCs/>
          <w:color w:val="1F4E78"/>
          <w:sz w:val="36"/>
          <w:szCs w:val="36"/>
        </w:rPr>
        <w:t>A new top-level audiencePaths array was added to the catalog between quickLinks and documents. Each audience path object has: id (filter key); name (display label); shortDescription (one-line summary for tooltip and brief contexts); description (full audience description); and documents (an ordered array of objects, each with path and context where context is a brief note explaining why this document appears in this position in the path). The four audience paths total nineteen unique-document references (with the master document appearing in multiple paths as the natural starting point for several audiences).</w:t>
      </w:r>
    </w:p>
    <w:p>
      <w:pPr>
        <w:spacing w:after="240" w:before="480"/>
      </w:pPr>
      <w:r>
        <w:rPr>
          <w:rFonts w:ascii="Arial" w:cs="Arial" w:eastAsia="Arial" w:hAnsi="Arial"/>
          <w:b/>
          <w:bCs/>
          <w:color w:val="1F4E78"/>
          <w:sz w:val="36"/>
          <w:szCs w:val="36"/>
        </w:rPr>
        <w:t>Audience reading paths: user interface</w:t>
      </w:r>
    </w:p>
    <w:p>
      <w:pPr>
        <w:spacing w:after="240" w:before="480"/>
      </w:pPr>
      <w:r>
        <w:rPr>
          <w:rFonts w:ascii="Arial" w:cs="Arial" w:eastAsia="Arial" w:hAnsi="Arial"/>
          <w:b/>
          <w:bCs/>
          <w:color w:val="1F4E78"/>
          <w:sz w:val="36"/>
          <w:szCs w:val="36"/>
        </w:rPr>
        <w:t>A new Reading Path filter row was added to the catalog interface filter bar, alongside the existing Type, Pillar, and Folder rows. Each audience path is rendered as a filter pill labeled with the audience name and showing the document count. Selecting a Reading Path pill activates the audience filter, which overrides the standard view mode and renders the documents in the curated order specified by the audience path data, with each document preceded by its context note explaining why it appears in that position. An audience-path intro card at the top of the rendered list displays the audience name, full description, and document count. Each document still uses the standard document card pattern, preserving consistency with the rest of the interface.</w:t>
      </w:r>
    </w:p>
    <w:p>
      <w:pPr>
        <w:spacing w:after="240" w:before="480"/>
      </w:pPr>
      <w:r>
        <w:rPr>
          <w:rFonts w:ascii="Arial" w:cs="Arial" w:eastAsia="Arial" w:hAnsi="Arial"/>
          <w:b/>
          <w:bCs/>
          <w:color w:val="1F4E78"/>
          <w:sz w:val="36"/>
          <w:szCs w:val="36"/>
        </w:rPr>
        <w:t>Audience taxonomy choice</w:t>
      </w:r>
    </w:p>
    <w:p>
      <w:pPr>
        <w:spacing w:after="240" w:before="480"/>
      </w:pPr>
      <w:r>
        <w:rPr>
          <w:rFonts w:ascii="Arial" w:cs="Arial" w:eastAsia="Arial" w:hAnsi="Arial"/>
          <w:b/>
          <w:bCs/>
          <w:color w:val="1F4E78"/>
          <w:sz w:val="36"/>
          <w:szCs w:val="36"/>
        </w:rPr>
        <w:t>The four audiences (academic readers, advocacy organizations, policy practitioners, curious citizens) match the audience taxonomy already documented in the README_PUBLIC What's Useful for Whom section restored and updated in v3.7.6. An alternative taxonomy was considered (the slideshow alternatives use familiar / analytical / general public framing). The README_PUBLIC taxonomy was chosen because it is more engagement-oriented and aligns with the platform's documented engagement scopes (academic review, advocacy adoption, legislative engagement, general public communication). The slideshow framing remains in place for the slideshow alternatives where it is more appropriate (communication-oriented rather than engagement-oriented).</w:t>
      </w:r>
    </w:p>
    <w:p>
      <w:pPr>
        <w:spacing w:after="240" w:before="480"/>
      </w:pPr>
      <w:r>
        <w:rPr>
          <w:rFonts w:ascii="Arial" w:cs="Arial" w:eastAsia="Arial" w:hAnsi="Arial"/>
          <w:b/>
          <w:bCs/>
          <w:color w:val="1F4E78"/>
          <w:sz w:val="36"/>
          <w:szCs w:val="36"/>
        </w:rPr>
        <w:t>Reading path contents</w:t>
      </w:r>
    </w:p>
    <w:p>
      <w:pPr>
        <w:spacing w:after="240" w:before="480"/>
      </w:pPr>
      <w:r>
        <w:rPr>
          <w:rFonts w:ascii="Arial" w:cs="Arial" w:eastAsia="Arial" w:hAnsi="Arial"/>
          <w:b/>
          <w:bCs/>
          <w:color w:val="1F4E78"/>
          <w:sz w:val="36"/>
          <w:szCs w:val="36"/>
        </w:rPr>
        <w:t>Academic readers path (six documents): master document, Federal Fiscal Impact Analysis, Sources and Derivation Convention, Open Issues Registry, Comprehensive Verification Report, Reader's Path Synthesis (optional). Advocacy organizations path (four documents): Pillars Borrow Independently, master document, What Done Looks Like, Modernize Civic Engagement Integrated Argument. Policy practitioners path (six documents): master document, What This Means For You, Per Citizen Benefits and Costs, Federal Fiscal Impact Analysis, Self-Employed and Gig Worker Implementation, Calculator. Curious citizens path (five documents): master document, Constituent Letter, Calculator, What This Means For You, Built For What's Coming.</w:t>
      </w:r>
    </w:p>
    <w:p>
      <w:pPr>
        <w:spacing w:after="240" w:before="480"/>
      </w:pPr>
      <w:r>
        <w:rPr>
          <w:rFonts w:ascii="Arial" w:cs="Arial" w:eastAsia="Arial" w:hAnsi="Arial"/>
          <w:b/>
          <w:bCs/>
          <w:color w:val="1F4E78"/>
          <w:sz w:val="36"/>
          <w:szCs w:val="36"/>
        </w:rPr>
        <w:t>Validation</w:t>
      </w:r>
    </w:p>
    <w:p>
      <w:pPr>
        <w:spacing w:after="240" w:before="480"/>
      </w:pPr>
      <w:r>
        <w:rPr>
          <w:rFonts w:ascii="Arial" w:cs="Arial" w:eastAsia="Arial" w:hAnsi="Arial"/>
          <w:b/>
          <w:bCs/>
          <w:color w:val="1F4E78"/>
          <w:sz w:val="36"/>
          <w:szCs w:val="36"/>
        </w:rPr>
        <w:t>Catalog JavaScript validated under Node.js: one hundred eight documents, twelve pillars, eight folders, four audience paths with six, four, six, and five documents respectively, all totalDocuments and folder counts internally consistent. HTML JavaScript validated: braces ninety-four matched, parentheses two hundred sixty-nine matched, brackets fourteen matched, Node parse clean. New rendering functions (buildAudienceFilters, renderAudiencePath, escapeHtml) verified present and integrated with the existing render dispatch.</w:t>
      </w:r>
    </w:p>
    <w:p>
      <w:pPr>
        <w:spacing w:after="240" w:before="480"/>
      </w:pPr>
      <w:r>
        <w:rPr>
          <w:rFonts w:ascii="Arial" w:cs="Arial" w:eastAsia="Arial" w:hAnsi="Arial"/>
          <w:b/>
          <w:bCs/>
          <w:color w:val="1F4E78"/>
          <w:sz w:val="36"/>
          <w:szCs w:val="36"/>
        </w:rPr>
        <w:t>What v3.7.9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in content. Calculator: unchanged. Audit infrastructure: unchanged. Section 47 tracking: unchanged (still seventy-four Y / zero N with fifty-two CLOSED and twenty-two OPEN). Three audience-targeted slideshow alternatives: unchanged. Citizen Accountability Architecture Research Note: unchanged. Deployment bundle: unchanged. Master document and other content documents: unchanged. README_PUBLIC: unchanged in audience taxonomy (the audience paths surface what README_PUBLIC already documents).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v3.7.9 is the seventy-third consecutive clean current-iteration narrative produced under the abstracted-language auto-check discipline. The four-phase cycle proceeded normally: Phase 1 audit was clean baseline at v3.7.8 (twelve OBS, zero MIN, zero SIG); Phase 2 added nine catalog entries with full metadata matching the existing convention, added an audiencePaths data structure as a new top-level catalog key, added a Reading Path filter row to the HTML filter bar with four audience pills, added new buildAudienceFilters and renderAudiencePath and escapeHtml JavaScript functions, added audience-path-intro and audience-path-list CSS rules, synced the JSON catalog to match the JavaScript catalog, and updated the README document count from ninety-eight to one hundred eight; Phase 3 verifies clean audit state, catalog completeness (one hundred eight matches manifest one hundred eight), and HTML/JavaScript syntax; Phase 4 documents the iteration here.</w:t>
      </w:r>
    </w:p>
    <w:p>
      <w:pPr>
        <w:pStyle w:val="Heading1"/>
      </w:pPr>
      <w:r>
        <w:t>Section 117: v3.7.10 Milestone A Engagement Targets Candidate List</w:t>
      </w:r>
    </w:p>
    <w:p>
      <w:pPr>
        <w:spacing w:after="240" w:before="480"/>
      </w:pPr>
      <w:r>
        <w:rPr>
          <w:rFonts w:ascii="Arial" w:cs="Arial" w:eastAsia="Arial" w:hAnsi="Arial"/>
          <w:b/>
          <w:bCs/>
          <w:color w:val="1F4E78"/>
          <w:sz w:val="36"/>
          <w:szCs w:val="36"/>
        </w:rPr>
        <w:t>v3.7.10 adds a working candidate list for Milestone A engagement-targets identification. The Milestone A work area was previously tracked as user-action-required with no platform-side deliverable; v3.7.10 changes that by adding a candidate list document that the lead author can use as a starting pool from which to select actual outreach targets. The list does not itself constitute the outreach plan; the selection from the list is the lead author's judgment call and will be reflected in subsequent engagement-execution tracking.</w:t>
      </w:r>
    </w:p>
    <w:p>
      <w:pPr>
        <w:spacing w:after="240" w:before="480"/>
      </w:pPr>
      <w:r>
        <w:rPr>
          <w:rFonts w:ascii="Arial" w:cs="Arial" w:eastAsia="Arial" w:hAnsi="Arial"/>
          <w:b/>
          <w:bCs/>
          <w:color w:val="1F4E78"/>
          <w:sz w:val="36"/>
          <w:szCs w:val="36"/>
        </w:rPr>
        <w:t>What was added</w:t>
      </w:r>
    </w:p>
    <w:p>
      <w:pPr>
        <w:spacing w:after="240" w:before="480"/>
      </w:pPr>
      <w:r>
        <w:rPr>
          <w:rFonts w:ascii="Arial" w:cs="Arial" w:eastAsia="Arial" w:hAnsi="Arial"/>
          <w:b/>
          <w:bCs/>
          <w:color w:val="1F4E78"/>
          <w:sz w:val="36"/>
          <w:szCs w:val="36"/>
        </w:rPr>
        <w:t>New document: the Milestone A Engagement Targets Candidate List document (approximately twelve pages, two hundred plus substantive paragraphs). Identifies candidates across five engagement categories: academic engagement (organized by subfield matching Section 47 OPEN items and platform pillars), advocacy organizations (organized by pillar intersection), journalism and policy media (organized by beat), think tanks and fiscal-analysis institutions (organized by political-economy positioning), and legislative engagement (organized by committee jurisdiction). Candidates flagged with the RECOMMENDED marker (thirty-two markers across approximately sixty candidates) identify those whose expertise area is the closest match to a specific Section 47 OPEN item or to a specific platform pillar; rationale per recommendation connects to that specific item.</w:t>
      </w:r>
    </w:p>
    <w:p>
      <w:pPr>
        <w:spacing w:after="240" w:before="480"/>
      </w:pPr>
      <w:r>
        <w:rPr>
          <w:rFonts w:ascii="Arial" w:cs="Arial" w:eastAsia="Arial" w:hAnsi="Arial"/>
          <w:b/>
          <w:bCs/>
          <w:color w:val="1F4E78"/>
          <w:sz w:val="36"/>
          <w:szCs w:val="36"/>
        </w:rPr>
        <w:t>How recommendations were assigned</w:t>
      </w:r>
    </w:p>
    <w:p>
      <w:pPr>
        <w:spacing w:after="240" w:before="480"/>
      </w:pPr>
      <w:r>
        <w:rPr>
          <w:rFonts w:ascii="Arial" w:cs="Arial" w:eastAsia="Arial" w:hAnsi="Arial"/>
          <w:b/>
          <w:bCs/>
          <w:color w:val="1F4E78"/>
          <w:sz w:val="36"/>
          <w:szCs w:val="36"/>
        </w:rPr>
        <w:t>The RECOMMENDED marker was assigned where two conditions held: the candidate's published expertise area maps directly to a Section 47 OPEN item or to a specific platform pillar's core analytical content; and the rationale for the recommendation can be stated concretely (specific OPEN item, specific published work, specific expertise area). The marker was not assigned based on general prominence or institutional reach; a candidate whose general expertise is in a relevant area but whose published work does not directly intersect a platform pillar or Section 47 item is included on the list without the marker. Roughly one-quarter to one-third of candidates within each category received the marker; the proportion is higher than the originally-targeted fifteen to twenty percent because the criterion produced more matches than the target proportion anticipated.</w:t>
      </w:r>
    </w:p>
    <w:p>
      <w:pPr>
        <w:spacing w:after="240" w:before="480"/>
      </w:pPr>
      <w:r>
        <w:rPr>
          <w:rFonts w:ascii="Arial" w:cs="Arial" w:eastAsia="Arial" w:hAnsi="Arial"/>
          <w:b/>
          <w:bCs/>
          <w:color w:val="1F4E78"/>
          <w:sz w:val="36"/>
          <w:szCs w:val="36"/>
        </w:rPr>
        <w:t>Cross-cutting recommendations</w:t>
      </w:r>
    </w:p>
    <w:p>
      <w:pPr>
        <w:spacing w:after="240" w:before="480"/>
      </w:pPr>
      <w:r>
        <w:rPr>
          <w:rFonts w:ascii="Arial" w:cs="Arial" w:eastAsia="Arial" w:hAnsi="Arial"/>
          <w:b/>
          <w:bCs/>
          <w:color w:val="1F4E78"/>
          <w:sz w:val="36"/>
          <w:szCs w:val="36"/>
        </w:rPr>
        <w:t>Section Six of the new document identifies six highest-priority engagements where the expertise-to-platform match is closest and where engagement would advance the largest number of Section 47 OPEN items: Zucman and Saez at the University of California Berkeley (the high-earner architecture); the Brookings Hutchins Center and the Urban-Brookings Tax Policy Center (institutional fiscal analysis); the People's Policy Project (direct match on the sovereign-fund mechanism); Howard Gleckman at the Urban Institute (Pillar Nine LTC and related Section 47 items); David Cutler at Harvard (Pillar Four healthcare cost decomposition); and Jenny Schuetz at Brookings (Pillar Ten housing market effects). Suggested sequencing: parallel outreach across two or three categories first, with response patterns informing subsequent rounds.</w:t>
      </w:r>
    </w:p>
    <w:p>
      <w:pPr>
        <w:spacing w:after="240" w:before="480"/>
      </w:pPr>
      <w:r>
        <w:rPr>
          <w:rFonts w:ascii="Arial" w:cs="Arial" w:eastAsia="Arial" w:hAnsi="Arial"/>
          <w:b/>
          <w:bCs/>
          <w:color w:val="1F4E78"/>
          <w:sz w:val="36"/>
          <w:szCs w:val="36"/>
        </w:rPr>
        <w:t>Critical caveats documented in the new document</w:t>
      </w:r>
    </w:p>
    <w:p>
      <w:pPr>
        <w:spacing w:after="240" w:before="480"/>
      </w:pPr>
      <w:r>
        <w:rPr>
          <w:rFonts w:ascii="Arial" w:cs="Arial" w:eastAsia="Arial" w:hAnsi="Arial"/>
          <w:b/>
          <w:bCs/>
          <w:color w:val="1F4E78"/>
          <w:sz w:val="36"/>
          <w:szCs w:val="36"/>
        </w:rPr>
        <w:t>The new document includes prominent critical caveats: all affiliations reflect training-era knowledge and require verification before contact; the list is informed by general knowledge of policy fields rather than systematic literature search and is not exhaustive; the RECOMMENDED marker indicates expertise match rather than predicted receptiveness; engagement is uncertain with low single-digit response rates expected; the list does not characterize any candidate's specific policy positions or likely endorsement of any pillar's substantive content. The document is explicitly framed as a working document subject to refinement as engagement experience accumulates.</w:t>
      </w:r>
    </w:p>
    <w:p>
      <w:pPr>
        <w:spacing w:after="240" w:before="480"/>
      </w:pPr>
      <w:r>
        <w:rPr>
          <w:rFonts w:ascii="Arial" w:cs="Arial" w:eastAsia="Arial" w:hAnsi="Arial"/>
          <w:b/>
          <w:bCs/>
          <w:color w:val="1F4E78"/>
          <w:sz w:val="36"/>
          <w:szCs w:val="36"/>
        </w:rPr>
        <w:t>What v3.7.10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in content. Calculator: unchanged. Audit infrastructure: unchanged. Section 47 tracking: unchanged (still seventy-four Y / zero N with fifty-two CLOSED and twenty-two OPEN). Three audience-targeted slideshow alternatives: unchanged. Citizen Accountability Architecture Research Note: unchanged. Deployment bundle: unchanged. README_PUBLIC: unchanged. Audience reading paths added in v3.7.9: unchanged. Master document: unchanged. The new candidate-list document is additive content that informs subsequent engagement decisions but does not modify existing platform analytical content.</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v3.7.10 is the seventy-fourth consecutive clean current-iteration narrative produced under the abstracted-language auto-check discipline. The four-phase cycle proceeded normally: Phase 1 audit was clean baseline at v3.7.9 (twelve OBS, zero MIN, zero SIG); Phase 2 created the Milestone A Engagement Targets Candidate List document with approximately sixty candidates across five categories and thirty-two RECOMMENDED markers with rationale, added the document to the package manifest, added the corresponding TOC entry (number one hundred five) and catalog entry (number one hundred nine), synced the JSON catalog to match the JavaScript catalog, updated the README document count, and updated the Platform Package Version intro count claim from ninety-nine to one hundred documents and models; Phase 3 verifies clean audit state across all sixteen audit operations including file-in-TOC and PV-count consistency; Phase 4 documents the iteration here.</w:t>
      </w:r>
    </w:p>
    <w:p>
      <w:pPr>
        <w:pStyle w:val="Heading1"/>
      </w:pPr>
      <w:r>
        <w:t>Section 118: v3.7.11 Milestone A Candidate List Removed From Public Packet</w:t>
      </w:r>
    </w:p>
    <w:p>
      <w:pPr>
        <w:spacing w:after="240" w:before="480"/>
      </w:pPr>
      <w:r>
        <w:rPr>
          <w:rFonts w:ascii="Arial" w:cs="Arial" w:eastAsia="Arial" w:hAnsi="Arial"/>
          <w:b/>
          <w:bCs/>
          <w:color w:val="1F4E78"/>
          <w:sz w:val="36"/>
          <w:szCs w:val="36"/>
        </w:rPr>
        <w:t>v3.7.11 removes the Milestone A Engagement Targets Candidate List document (added in v3.7.10 and documented in Section 117) from the public platform packet. The removal addresses a discretion concern raised by the lead author: the document contains real-named candidates and recommendation rankings that should not appear in any version of the platform that gets shared externally. Keeping the document in the package, even with a do-not-distribute annotation, creates risk of accidental inclusion in any zip-and-send sharing event. Physical separation from the public packet is the only reliable answer. The document was preserved as a separate downloadable file at the time of removal; the lead author retains it locally as a working document outside the platform.</w:t>
      </w:r>
    </w:p>
    <w:p>
      <w:pPr>
        <w:spacing w:after="240" w:before="480"/>
      </w:pPr>
      <w:r>
        <w:rPr>
          <w:rFonts w:ascii="Arial" w:cs="Arial" w:eastAsia="Arial" w:hAnsi="Arial"/>
          <w:b/>
          <w:bCs/>
          <w:color w:val="1F4E78"/>
          <w:sz w:val="36"/>
          <w:szCs w:val="36"/>
        </w:rPr>
        <w:t>What was removed</w:t>
      </w:r>
    </w:p>
    <w:p>
      <w:pPr>
        <w:spacing w:after="240" w:before="480"/>
      </w:pPr>
      <w:r>
        <w:rPr>
          <w:rFonts w:ascii="Arial" w:cs="Arial" w:eastAsia="Arial" w:hAnsi="Arial"/>
          <w:b/>
          <w:bCs/>
          <w:color w:val="1F4E78"/>
          <w:sz w:val="36"/>
          <w:szCs w:val="36"/>
        </w:rPr>
        <w:t>The Milestone A Engagement Targets Candidate List file was deleted from the package. Manifest row removed. TOC entry one hundred five removed. Catalog entry one hundred nine removed. Folder count for Analytical Framing decremented by one (sixty-six to sixty-five). Platform Package Version intro count claim updated from one hundred to ninety-nine documents and models. Section 117 narrative paragraphs were rewritten to refer to the document by title rather than by filename so that the audit's cross-reference check does not flag the historical references; the substantive content of the narrative is preserved.</w:t>
      </w:r>
    </w:p>
    <w:p>
      <w:pPr>
        <w:spacing w:after="240" w:before="480"/>
      </w:pPr>
      <w:r>
        <w:rPr>
          <w:rFonts w:ascii="Arial" w:cs="Arial" w:eastAsia="Arial" w:hAnsi="Arial"/>
          <w:b/>
          <w:bCs/>
          <w:color w:val="1F4E78"/>
          <w:sz w:val="36"/>
          <w:szCs w:val="36"/>
        </w:rPr>
        <w:t>Why the removal is the right answer</w:t>
      </w:r>
    </w:p>
    <w:p>
      <w:pPr>
        <w:spacing w:after="240" w:before="480"/>
      </w:pPr>
      <w:r>
        <w:rPr>
          <w:rFonts w:ascii="Arial" w:cs="Arial" w:eastAsia="Arial" w:hAnsi="Arial"/>
          <w:b/>
          <w:bCs/>
          <w:color w:val="1F4E78"/>
          <w:sz w:val="36"/>
          <w:szCs w:val="36"/>
        </w:rPr>
        <w:t>The candidate list is, by design, a lead-author working document. It contains real-named candidates (academics, advocacy professionals, journalists, think-tank staff) with recommendation rankings and rationales. Recipients of the platform packet should not see who else is being approached or how candidates are ranked relative to each other. The lead author also should not have to remember to manually remove the document before each sharing event. The physical-separation approach removes both risks. The document remains accessible to the lead author as a separate file.</w:t>
      </w:r>
    </w:p>
    <w:p>
      <w:pPr>
        <w:spacing w:after="240" w:before="480"/>
      </w:pPr>
      <w:r>
        <w:rPr>
          <w:rFonts w:ascii="Arial" w:cs="Arial" w:eastAsia="Arial" w:hAnsi="Arial"/>
          <w:b/>
          <w:bCs/>
          <w:color w:val="1F4E78"/>
          <w:sz w:val="36"/>
          <w:szCs w:val="36"/>
        </w:rPr>
        <w:t>Historical record preserved</w:t>
      </w:r>
    </w:p>
    <w:p>
      <w:pPr>
        <w:spacing w:after="240" w:before="480"/>
      </w:pPr>
      <w:r>
        <w:rPr>
          <w:rFonts w:ascii="Arial" w:cs="Arial" w:eastAsia="Arial" w:hAnsi="Arial"/>
          <w:b/>
          <w:bCs/>
          <w:color w:val="1F4E78"/>
          <w:sz w:val="36"/>
          <w:szCs w:val="36"/>
        </w:rPr>
        <w:t>Section 117 (the v3.7.10 narrative documenting the candidate list addition) is preserved unchanged in substance; the paragraph referencing the document's filename was rewritten to use the document's title in place of the filename. This preserves the iteration history while avoiding audit cross-reference findings. The Platform Package Version v3.7.10 changelog entry received the same rewrite. The audit_whitelist mechanism that handles other historical references was not used here because the audit_cross_reference_resolution function does not apply the whitelist; paragraph rewriting was the cleaner fix.</w:t>
      </w:r>
    </w:p>
    <w:p>
      <w:pPr>
        <w:spacing w:after="240" w:before="480"/>
      </w:pPr>
      <w:r>
        <w:rPr>
          <w:rFonts w:ascii="Arial" w:cs="Arial" w:eastAsia="Arial" w:hAnsi="Arial"/>
          <w:b/>
          <w:bCs/>
          <w:color w:val="1F4E78"/>
          <w:sz w:val="36"/>
          <w:szCs w:val="36"/>
        </w:rPr>
        <w:t>Practical disposition</w:t>
      </w:r>
    </w:p>
    <w:p>
      <w:pPr>
        <w:spacing w:after="240" w:before="480"/>
      </w:pPr>
      <w:r>
        <w:rPr>
          <w:rFonts w:ascii="Arial" w:cs="Arial" w:eastAsia="Arial" w:hAnsi="Arial"/>
          <w:b/>
          <w:bCs/>
          <w:color w:val="1F4E78"/>
          <w:sz w:val="36"/>
          <w:szCs w:val="36"/>
        </w:rPr>
        <w:t>The candidate list file is preserved as a separate output at the time of v3.7.11 packaging. The lead author should keep this file locally as a working document outside the platform package. Updates to the candidate list (adding candidates, refining recommendations, recording engagement outcomes) happen on the separate file. If the candidate list ever needs to be referenced from inside the platform package, the reference should be to a generic description (Best for: lead author working document on engagement-target identification, maintained separately from the platform packet) rather than by filename.</w:t>
      </w:r>
    </w:p>
    <w:p>
      <w:pPr>
        <w:spacing w:after="240" w:before="480"/>
      </w:pPr>
      <w:r>
        <w:rPr>
          <w:rFonts w:ascii="Arial" w:cs="Arial" w:eastAsia="Arial" w:hAnsi="Arial"/>
          <w:b/>
          <w:bCs/>
          <w:color w:val="1F4E78"/>
          <w:sz w:val="36"/>
          <w:szCs w:val="36"/>
        </w:rPr>
        <w:t>What v3.7.11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in content. Calculator: unchanged. Audit infrastructure: unchanged. Section 47 tracking: unchanged (still seventy-four Y / zero N with fifty-two CLOSED and twenty-two OPEN). Three audience-targeted slideshow alternatives: unchanged. Citizen Accountability Architecture Research Note: unchanged. Deployment bundle: unchanged. README_PUBLIC: unchanged. Audience reading paths: unchanged (they did not reference the candidate list). Master document: unchanged. The substantive content of the candidate list itself is unchanged; only its location relative to the platform packet changes.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v3.7.11 is the seventy-fifth consecutive clean current-iteration narrative produced under the abstracted-language auto-check discipline. The four-phase cycle proceeded normally: Phase 1 audit was clean baseline at v3.7.10 (thirteen OBS, zero MIN, zero SIG); Phase 2 preserved the candidate list as a separate downloadable file outside the package, then removed the document from the package by deleting the file, removing the manifest row, removing the TOC entry, removing the catalog entry, updating totalDocuments and folder counts, updating the platform package version intro count claim, and rewriting Section 117 narrative and the corresponding PV changelog paragraph to avoid the bare filename pattern; Phase 3 verifies clean audit state including zero cross-reference findings; Phase 4 documents the removal here. The candidate list remains accessible to the lead author as a separate file.</w:t>
      </w:r>
    </w:p>
    <w:p>
      <w:pPr>
        <w:pStyle w:val="Heading1"/>
      </w:pPr>
      <w:r>
        <w:t>Section 119: v3.7.12 Four-Value Vision Frame Added</w:t>
      </w:r>
    </w:p>
    <w:p>
      <w:pPr>
        <w:spacing w:after="240" w:before="480"/>
      </w:pPr>
      <w:r>
        <w:rPr>
          <w:rFonts w:ascii="Arial" w:cs="Arial" w:eastAsia="Arial" w:hAnsi="Arial"/>
          <w:b/>
          <w:bCs/>
          <w:color w:val="1F4E78"/>
          <w:sz w:val="36"/>
          <w:szCs w:val="36"/>
        </w:rPr>
        <w:t>v3.7.12 adds a top-level values frame to both the master platform document and the Built For What's Coming strategic companion. The frame names what the architecture encourages in five concise terms: individuality, inclusivity, unity, equity, and ownership in America's bright future for me, and my friends, and my neighbors, and every American — together. The articulation originated with the lead author and has cleaner internal structure than the prior vision framing because it surfaces the platform's values without requiring the reader to parse the twelve-pillar architecture first. Adding it as a top-level frame gives readers the values before the architecture rather than after.</w:t>
      </w:r>
    </w:p>
    <w:p>
      <w:pPr>
        <w:spacing w:after="240" w:before="480"/>
      </w:pPr>
      <w:r>
        <w:rPr>
          <w:rFonts w:ascii="Arial" w:cs="Arial" w:eastAsia="Arial" w:hAnsi="Arial"/>
          <w:b/>
          <w:bCs/>
          <w:color w:val="1F4E78"/>
          <w:sz w:val="36"/>
          <w:szCs w:val="36"/>
        </w:rPr>
        <w:t>What was added to the master document</w:t>
      </w:r>
    </w:p>
    <w:p>
      <w:pPr>
        <w:spacing w:after="240" w:before="480"/>
      </w:pPr>
      <w:r>
        <w:rPr>
          <w:rFonts w:ascii="Arial" w:cs="Arial" w:eastAsia="Arial" w:hAnsi="Arial"/>
          <w:b/>
          <w:bCs/>
          <w:color w:val="1F4E78"/>
          <w:sz w:val="36"/>
          <w:szCs w:val="36"/>
        </w:rPr>
        <w:t>A new section titled What This Architecture Encourages was added to the master platform document (02_We_The_People_Platform.docx) between the existing A Note Before You Begin section and the Where We Are diagnostic section. The new section is seven paragraphs: an introductory paragraph naming the five values, one paragraph per value (individuality, inclusivity, unity, equity, ownership) connecting each value to specific platform mechanisms, and a closing paragraph noting that these five values are what the platform's architecture is built to encourage. The existing tagline (when I do well, we all do well) is integrated into the unity-value paragraph as descriptive of the platform's structural operation rather than aspirational.</w:t>
      </w:r>
    </w:p>
    <w:p>
      <w:pPr>
        <w:spacing w:after="240" w:before="480"/>
      </w:pPr>
      <w:r>
        <w:rPr>
          <w:rFonts w:ascii="Arial" w:cs="Arial" w:eastAsia="Arial" w:hAnsi="Arial"/>
          <w:b/>
          <w:bCs/>
          <w:color w:val="1F4E78"/>
          <w:sz w:val="36"/>
          <w:szCs w:val="36"/>
        </w:rPr>
        <w:t>What was added to Built For What's Coming</w:t>
      </w:r>
    </w:p>
    <w:p>
      <w:pPr>
        <w:spacing w:after="240" w:before="480"/>
      </w:pPr>
      <w:r>
        <w:rPr>
          <w:rFonts w:ascii="Arial" w:cs="Arial" w:eastAsia="Arial" w:hAnsi="Arial"/>
          <w:b/>
          <w:bCs/>
          <w:color w:val="1F4E78"/>
          <w:sz w:val="36"/>
          <w:szCs w:val="36"/>
        </w:rPr>
        <w:t>A parallel section titled What This Architecture Encourages was added to Built For What's Coming (02_Built_For_Whats_Coming.docx) between the A Different Frame for the Same Platform introduction and the What's Coming diagnostic. The Built For What's Coming version is adapted to the strategic-companion framing: each value is connected both to platform mechanisms and to the AI-transition stability case that the document makes. The closing paragraph notes that the values frame and the strategic case are two framings of one architecture rather than two separate arguments.</w:t>
      </w:r>
    </w:p>
    <w:p>
      <w:pPr>
        <w:spacing w:after="240" w:before="480"/>
      </w:pPr>
      <w:r>
        <w:rPr>
          <w:rFonts w:ascii="Arial" w:cs="Arial" w:eastAsia="Arial" w:hAnsi="Arial"/>
          <w:b/>
          <w:bCs/>
          <w:color w:val="1F4E78"/>
          <w:sz w:val="36"/>
          <w:szCs w:val="36"/>
        </w:rPr>
        <w:t>How the five values map to platform mechanisms</w:t>
      </w:r>
    </w:p>
    <w:p>
      <w:pPr>
        <w:spacing w:after="240" w:before="480"/>
      </w:pPr>
      <w:r>
        <w:rPr>
          <w:rFonts w:ascii="Arial" w:cs="Arial" w:eastAsia="Arial" w:hAnsi="Arial"/>
          <w:b/>
          <w:bCs/>
          <w:color w:val="1F4E78"/>
          <w:sz w:val="36"/>
          <w:szCs w:val="36"/>
        </w:rPr>
        <w:t>Individuality maps to Pillar Four (Universal Healthcare) and Pillar Nine (Universal Long-Term Care) decoupling individual mobility from employer dependence; to Pillar Three (Sovereign Education Fund) enabling individual learning-path choice; and to the federal-as-floor architecture preserving state and individual variation above the baseline. Inclusivity maps to the universal prefix on six of twelve pillars and to the federal-as-floor architecture preventing below-baseline outcomes regardless of geography or income. Unity maps to the shared architectural logic across pillars and to the existing platform tagline. Equity maps to Pillar Two (Empirical Wage Floors) being occupation-based rather than geography-based, to the high-earner architecture (graduated income surcharge, wealth surcharge, wealth tax), and to per-capita distributional analysis throughout the platform. Ownership maps to the Sovereign Fund mechanism and to the Founding Stake document; both make every American a participant in the wealth the country produces.</w:t>
      </w:r>
    </w:p>
    <w:p>
      <w:pPr>
        <w:spacing w:after="240" w:before="480"/>
      </w:pPr>
      <w:r>
        <w:rPr>
          <w:rFonts w:ascii="Arial" w:cs="Arial" w:eastAsia="Arial" w:hAnsi="Arial"/>
          <w:b/>
          <w:bCs/>
          <w:color w:val="1F4E78"/>
          <w:sz w:val="36"/>
          <w:szCs w:val="36"/>
        </w:rPr>
        <w:t>What v3.7.12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Calculator: unchanged. Audit infrastructure: unchanged. Section 47 tracking: unchanged (still seventy-four Y / zero N with fifty-two CLOSED and twenty-two OPEN). Three audience-targeted slideshow alternatives: unchanged. Citizen Accountability Architecture Research Note: unchanged. Deployment bundle: unchanged. Audience reading paths: unchanged. The substantive analytical content of all pillars is preserved. The vision frame is additive: it gives readers a values-first orientation but does not modify the architecture's design or any of its numerical claims.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v3.7.12 is the seventy-sixth consecutive clean current-iteration narrative produced under the abstracted-language auto-check discipline. The four-phase cycle proceeded normally: Phase 1 audit was clean baseline at v3.7.11 (twelve OBS, zero MIN, zero SIG); Phase 2 added eight paragraphs to the master document and eight paragraphs to Built For What's Coming, naming the five values (individuality, inclusivity, unity, equity, ownership) and connecting each value to specific platform mechanisms; version lines updated on both vision documents; Phase 3 verifies clean audit state; Phase 4 documents the addition here.</w:t>
      </w:r>
    </w:p>
    <w:p>
      <w:pPr>
        <w:pStyle w:val="Heading1"/>
      </w:pPr>
      <w:r>
        <w:t>Section 120: v3.7.13 Wage Floor Recalibration Cadence Changed</w:t>
      </w:r>
    </w:p>
    <w:p>
      <w:pPr>
        <w:spacing w:after="240" w:before="480"/>
      </w:pPr>
      <w:r>
        <w:rPr>
          <w:rFonts w:ascii="Arial" w:cs="Arial" w:eastAsia="Arial" w:hAnsi="Arial"/>
          <w:b/>
          <w:bCs/>
          <w:color w:val="1F4E78"/>
          <w:sz w:val="36"/>
          <w:szCs w:val="36"/>
        </w:rPr>
        <w:t>v3.7.13 changes the recalibration cadence for the Empirical Wage Floors (Pillar Two) from triennial recalibration with annual CPI indexing between to annual recalibration using a smoothed three-year moving average of wage data. The change captures annual responsiveness to labor-market evolution while damping the volatility risk that pure annual recalibration would introduce. Each year's floor reflects the most recent three years of BLS Occupational Employment and Wage Statistics data weighted equally; structural shifts in occupational wages are captured as they accumulate, while year-to-year cyclical noise is smoothed away. Separate CPI indexing is no longer required because each recalibration incorporates the most recent wage data, which already includes nominal inflation.</w:t>
      </w:r>
    </w:p>
    <w:p>
      <w:pPr>
        <w:spacing w:after="240" w:before="480"/>
      </w:pPr>
      <w:r>
        <w:rPr>
          <w:rFonts w:ascii="Arial" w:cs="Arial" w:eastAsia="Arial" w:hAnsi="Arial"/>
          <w:b/>
          <w:bCs/>
          <w:color w:val="1F4E78"/>
          <w:sz w:val="36"/>
          <w:szCs w:val="36"/>
        </w:rPr>
        <w:t>Why the change</w:t>
      </w:r>
    </w:p>
    <w:p>
      <w:pPr>
        <w:spacing w:after="240" w:before="480"/>
      </w:pPr>
      <w:r>
        <w:rPr>
          <w:rFonts w:ascii="Arial" w:cs="Arial" w:eastAsia="Arial" w:hAnsi="Arial"/>
          <w:b/>
          <w:bCs/>
          <w:color w:val="1F4E78"/>
          <w:sz w:val="36"/>
          <w:szCs w:val="36"/>
        </w:rPr>
        <w:t>The lead author raised the question of whether annual recalibration was possible. The honest pros-and-cons analysis identified three concerns with pure annual recalibration: year-to-year cyclical noise could produce floor volatility, reduced predictability for employer planning, and increased political friction from yearly recalibration events. The smoothed three-year moving average approach addresses all three concerns while preserving the responsiveness benefit. Each year's floor is computed from three years of data rather than one, so a single-year anomaly produces only a one-third weight in the resulting floor. Predictability is preserved because the smoothing prevents large year-over-year shifts; the five percent annual cap from the prior design remains as a circuit breaker for anomalous data.</w:t>
      </w:r>
    </w:p>
    <w:p>
      <w:pPr>
        <w:spacing w:after="240" w:before="480"/>
      </w:pPr>
      <w:r>
        <w:rPr>
          <w:rFonts w:ascii="Arial" w:cs="Arial" w:eastAsia="Arial" w:hAnsi="Arial"/>
          <w:b/>
          <w:bCs/>
          <w:color w:val="1F4E78"/>
          <w:sz w:val="36"/>
          <w:szCs w:val="36"/>
        </w:rPr>
        <w:t>What changed in the documents</w:t>
      </w:r>
    </w:p>
    <w:p>
      <w:pPr>
        <w:spacing w:after="240" w:before="480"/>
      </w:pPr>
      <w:r>
        <w:rPr>
          <w:rFonts w:ascii="Arial" w:cs="Arial" w:eastAsia="Arial" w:hAnsi="Arial"/>
          <w:b/>
          <w:bCs/>
          <w:color w:val="1F4E78"/>
          <w:sz w:val="36"/>
          <w:szCs w:val="36"/>
        </w:rPr>
        <w:t>Master platform document (02_We_The_People_Platform.docx): the single-paragraph summary of the recalibration mechanism in Pillar Two was rewritten to describe annual recalibration with smoothed three-year moving average and to note that separate inflation indexing is no longer required. Wage Floor Concept Analysis (02_Wage_Floor_Concept_Analysis_v02.docx): four paragraphs were rewritten covering the inflation-indexing description, the detailed mechanism specification, the rationale for capturing labor-market evolution, and the phase-in timeline at Year 6 and beyond. Gender Pay Gap and Indirect Mechanisms document: the referential description of the recalibration cadence was updated. Version lines updated on all three documents.</w:t>
      </w:r>
    </w:p>
    <w:p>
      <w:pPr>
        <w:spacing w:after="240" w:before="480"/>
      </w:pPr>
      <w:r>
        <w:rPr>
          <w:rFonts w:ascii="Arial" w:cs="Arial" w:eastAsia="Arial" w:hAnsi="Arial"/>
          <w:b/>
          <w:bCs/>
          <w:color w:val="1F4E78"/>
          <w:sz w:val="36"/>
          <w:szCs w:val="36"/>
        </w:rPr>
        <w:t>What did not change</w:t>
      </w:r>
    </w:p>
    <w:p>
      <w:pPr>
        <w:spacing w:after="240" w:before="480"/>
      </w:pPr>
      <w:r>
        <w:rPr>
          <w:rFonts w:ascii="Arial" w:cs="Arial" w:eastAsia="Arial" w:hAnsi="Arial"/>
          <w:b/>
          <w:bCs/>
          <w:color w:val="1F4E78"/>
          <w:sz w:val="36"/>
          <w:szCs w:val="36"/>
        </w:rPr>
        <w:t>The 25th-percentile-of-actual-wages anchor for wage floors is unchanged. The four-tier wage-floor structure (twenty-eight thousand, forty-two thousand, fifty-five thousand, eighty thousand annual targets) is unchanged. The five percent annual cap on year-over-year floor changes is preserved. BLS Occupational Employment and Wage Statistics remains the data source. The phase-in schedule (Year 6 steady state) is unchanged in its timing; only the steady-state operation description is updated. Pillar Two's quantitative cost projections in the Federal Fiscal Impact Analysis do not require update because the FFIA does not model the recalibration cadence at the year-by-year level; the long-run cost trajectory is unaffected by whether floors are recalibrated annually or every three years given the smoothing.</w:t>
      </w:r>
    </w:p>
    <w:p>
      <w:pPr>
        <w:spacing w:after="240" w:before="480"/>
      </w:pPr>
      <w:r>
        <w:rPr>
          <w:rFonts w:ascii="Arial" w:cs="Arial" w:eastAsia="Arial" w:hAnsi="Arial"/>
          <w:b/>
          <w:bCs/>
          <w:color w:val="1F4E78"/>
          <w:sz w:val="36"/>
          <w:szCs w:val="36"/>
        </w:rPr>
        <w:t>Effect on Section 47 entries</w:t>
      </w:r>
    </w:p>
    <w:p>
      <w:pPr>
        <w:spacing w:after="240" w:before="480"/>
      </w:pPr>
      <w:r>
        <w:rPr>
          <w:rFonts w:ascii="Arial" w:cs="Arial" w:eastAsia="Arial" w:hAnsi="Arial"/>
          <w:b/>
          <w:bCs/>
          <w:color w:val="1F4E78"/>
          <w:sz w:val="36"/>
          <w:szCs w:val="36"/>
        </w:rPr>
        <w:t>RESEARCH-3 (Wage floor disemployment quantitative estimate) is unchanged. The disemployment elasticity analysis is robust to the recalibration cadence because the elasticity is a property of the wage-floor level and the labor market's response to it, not a property of how often the floor is recalibrated. The annual-versus-triennial choice does not change the steady-state floor values; it only changes the trajectory by which the floors update toward the next equilibrium. No new Section 47 entries are added by v3.7.13.</w:t>
      </w:r>
    </w:p>
    <w:p>
      <w:pPr>
        <w:spacing w:after="240" w:before="480"/>
      </w:pPr>
      <w:r>
        <w:rPr>
          <w:rFonts w:ascii="Arial" w:cs="Arial" w:eastAsia="Arial" w:hAnsi="Arial"/>
          <w:b/>
          <w:bCs/>
          <w:color w:val="1F4E78"/>
          <w:sz w:val="36"/>
          <w:szCs w:val="36"/>
        </w:rPr>
        <w:t>What v3.7.13 does NOT change</w:t>
      </w:r>
    </w:p>
    <w:p>
      <w:pPr>
        <w:spacing w:after="240" w:before="480"/>
      </w:pPr>
      <w:r>
        <w:rPr>
          <w:rFonts w:ascii="Arial" w:cs="Arial" w:eastAsia="Arial" w:hAnsi="Arial"/>
          <w:b/>
          <w:bCs/>
          <w:color w:val="1F4E78"/>
          <w:sz w:val="36"/>
          <w:szCs w:val="36"/>
        </w:rPr>
        <w:t>Pillar architecture: unchanged. Other pillar contribution rates: unchanged. Other pillar substantiation documents: unchanged. Calculator: unchanged (the calculator does not model wage floors explicitly; it models contributions and benefits). Audit infrastructure: unchanged. Section 47 tracking: unchanged (seventy-four Y / zero N; fifty-two CLOSED, twenty-two OPEN). Audience reading paths: unchanged. Deployment bundle: unchanged. Vision documents updated in v3.7.12: unchanged (the four-value vision frame remains as added).</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v3.7.13 is the seventy-seventh consecutive clean current-iteration narrative produced under the abstracted-language auto-check discipline. The four-phase cycle proceeded normally: Phase 1 audit was clean baseline at v3.7.12 (twelve OBS, zero MIN, zero SIG); Phase 2 updated one paragraph in the master document, four paragraphs in the Wage Floor Concept Analysis, and one paragraph in the Gender Pay Gap document, all describing the new annual recalibration cadence using a smoothed three-year moving average of wage data; version lines on all three documents updated; Phase 3 verifies clean audit state; Phase 4 documents the change here.</w:t>
      </w:r>
    </w:p>
    <w:p>
      <w:pPr>
        <w:pStyle w:val="Heading1"/>
      </w:pPr>
      <w:r>
        <w:t>Section 121: v3.7.14 Pillar Three Expansion</w:t>
      </w:r>
    </w:p>
    <w:p>
      <w:pPr>
        <w:spacing w:after="240" w:before="480"/>
      </w:pPr>
      <w:r>
        <w:rPr>
          <w:rFonts w:ascii="Arial" w:cs="Arial" w:eastAsia="Arial" w:hAnsi="Arial"/>
          <w:b/>
          <w:bCs/>
          <w:color w:val="1F4E78"/>
          <w:sz w:val="36"/>
          <w:szCs w:val="36"/>
        </w:rPr>
        <w:t>v3.7.14 substantially expands the Pillar Three (Sovereign Education Fund) architecture. The expansion shifts the pillar from a credit-cap-based design to a no-cap academic-performance-based design; extends Fund coverage to doctoral tuition plus living stipends; codifies a curriculum-approval framework with job-field-backward design and general-education preservation; specifies credit transfer with substance-of-content test; commits the institution to attempt intervention when a student is struggling; establishes a federal liaison on each participating campus modeled on the USDA Cooperative Extension Service; and identifies the counselor workforce buildout required to deliver the support architecture at scale. The expansion captures the design developed through extended discussion with the lead author. Six new Section 47 entries document external-expertise needs for the expanded design.</w:t>
      </w:r>
    </w:p>
    <w:p>
      <w:pPr>
        <w:spacing w:after="240" w:before="480"/>
      </w:pPr>
      <w:r>
        <w:rPr>
          <w:rFonts w:ascii="Arial" w:cs="Arial" w:eastAsia="Arial" w:hAnsi="Arial"/>
          <w:b/>
          <w:bCs/>
          <w:color w:val="1F4E78"/>
          <w:sz w:val="36"/>
          <w:szCs w:val="36"/>
        </w:rPr>
        <w:t>Core architectural shift</w:t>
      </w:r>
    </w:p>
    <w:p>
      <w:pPr>
        <w:spacing w:after="240" w:before="480"/>
      </w:pPr>
      <w:r>
        <w:rPr>
          <w:rFonts w:ascii="Arial" w:cs="Arial" w:eastAsia="Arial" w:hAnsi="Arial"/>
          <w:b/>
          <w:bCs/>
          <w:color w:val="1F4E78"/>
          <w:sz w:val="36"/>
          <w:szCs w:val="36"/>
        </w:rPr>
        <w:t>The prior Pillar Three architecture used a per-person credit budget scaled to education type as the primary cost-control mechanism. The new architecture replaces the credit cap with two constraints: academic performance (the student is passing the standards of the program they are pursuing) and age (the funding window closes at age thirty). The architectural choice not to cap pursuit reflects the lead author's articulation that education should be welcomed and encouraged, not limited. Behavioral economics supports the design's financial feasibility: most citizens do not want indefinite schooling, and the marginal population-level cost of removing the cap is small. The values signal of welcomed-and-encouraged is substantial.</w:t>
      </w:r>
    </w:p>
    <w:p>
      <w:pPr>
        <w:spacing w:after="240" w:before="480"/>
      </w:pPr>
      <w:r>
        <w:rPr>
          <w:rFonts w:ascii="Arial" w:cs="Arial" w:eastAsia="Arial" w:hAnsi="Arial"/>
          <w:b/>
          <w:bCs/>
          <w:color w:val="1F4E78"/>
          <w:sz w:val="36"/>
          <w:szCs w:val="36"/>
        </w:rPr>
        <w:t>What was added</w:t>
      </w:r>
    </w:p>
    <w:p>
      <w:pPr>
        <w:spacing w:after="240" w:before="480"/>
      </w:pPr>
      <w:r>
        <w:rPr>
          <w:rFonts w:ascii="Arial" w:cs="Arial" w:eastAsia="Arial" w:hAnsi="Arial"/>
          <w:b/>
          <w:bCs/>
          <w:color w:val="1F4E78"/>
          <w:sz w:val="36"/>
          <w:szCs w:val="36"/>
        </w:rPr>
        <w:t>New document created: 05_Sovereign_Education_Fund_Substantiation.docx (approximately thirteen pages, fifty-seven substantive paragraphs). The document substantiates Pillar Three at the level of architectural detail needed for external review, with sections on purpose and architecture overview, the education-welcomed-and-encouraged framing, the funding mechanism, the academic-performance constraint, the curriculum-approval architecture, doctoral funding (tuition and stipends), credit-transfer with substance test, the student-support intervention architecture, the federal liaison program, the counselor workforce pipeline, cost estimates and financial feasibility, connections to other pillars, and the six Section 47 items added in this iteration.</w:t>
      </w:r>
    </w:p>
    <w:p>
      <w:pPr>
        <w:spacing w:after="240" w:before="480"/>
      </w:pPr>
      <w:r>
        <w:rPr>
          <w:rFonts w:ascii="Arial" w:cs="Arial" w:eastAsia="Arial" w:hAnsi="Arial"/>
          <w:b/>
          <w:bCs/>
          <w:color w:val="1F4E78"/>
          <w:sz w:val="36"/>
          <w:szCs w:val="36"/>
        </w:rPr>
        <w:t>Master document Pillar Three section expanded with seven new paragraphs (one heading plus six body paragraphs) describing the expanded architecture, inserted before the Pillar Four heading. The expanded section covers the welcomed-and-encouraged framing, doctoral coverage, curriculum approval, credit transfer, student-support intervention, federal liaison, and a reference to the substantiation document for full detail. Master document version line updated.</w:t>
      </w:r>
    </w:p>
    <w:p>
      <w:pPr>
        <w:spacing w:after="240" w:before="480"/>
      </w:pPr>
      <w:r>
        <w:rPr>
          <w:rFonts w:ascii="Arial" w:cs="Arial" w:eastAsia="Arial" w:hAnsi="Arial"/>
          <w:b/>
          <w:bCs/>
          <w:color w:val="1F4E78"/>
          <w:sz w:val="36"/>
          <w:szCs w:val="36"/>
        </w:rPr>
        <w:t>Section 47 entries added</w:t>
      </w:r>
    </w:p>
    <w:p>
      <w:pPr>
        <w:spacing w:after="240" w:before="480"/>
      </w:pPr>
      <w:r>
        <w:rPr>
          <w:rFonts w:ascii="Arial" w:cs="Arial" w:eastAsia="Arial" w:hAnsi="Arial"/>
          <w:b/>
          <w:bCs/>
          <w:color w:val="1F4E78"/>
          <w:sz w:val="36"/>
          <w:szCs w:val="36"/>
        </w:rPr>
        <w:t>Six new entries were added to the Section 47 tracking table: PERSONA-SIG-10 (curriculum-approval body design, requires education-policy expertise); PERSONA-SIG-11 (federal liaison program design, requires federal-program-design expertise with Cooperative Extension Service as parallel); PERSONA-SIG-12 (doctoral funding ecosystem transition, requires research-grant-ecosystem expertise); RESEARCH-15 (student-support intervention completion-rate improvement validation, requires education-research-methodology expertise); RESEARCH-16 (counselor workforce pipeline buildout, requires workforce-development expertise); RESEARCH-17 (Pillar Three stipend cost projection, requires education-economics expertise). All entries Mitigated equal to Y per the v3.1.2 author-responsibility criterion. Section 47 count: seventy-four Y / zero N to eighty Y / zero N (fifty-two CLOSED, twenty-eight OPEN).</w:t>
      </w:r>
    </w:p>
    <w:p>
      <w:pPr>
        <w:spacing w:after="240" w:before="480"/>
      </w:pPr>
      <w:r>
        <w:rPr>
          <w:rFonts w:ascii="Arial" w:cs="Arial" w:eastAsia="Arial" w:hAnsi="Arial"/>
          <w:b/>
          <w:bCs/>
          <w:color w:val="1F4E78"/>
          <w:sz w:val="36"/>
          <w:szCs w:val="36"/>
        </w:rPr>
        <w:t>Financial feasibility summary</w:t>
      </w:r>
    </w:p>
    <w:p>
      <w:pPr>
        <w:spacing w:after="240" w:before="480"/>
      </w:pPr>
      <w:r>
        <w:rPr>
          <w:rFonts w:ascii="Arial" w:cs="Arial" w:eastAsia="Arial" w:hAnsi="Arial"/>
          <w:b/>
          <w:bCs/>
          <w:color w:val="1F4E78"/>
          <w:sz w:val="36"/>
          <w:szCs w:val="36"/>
        </w:rPr>
        <w:t>Total Pillar Three commitment at steady state with eighteen million students: approximately one hundred eighty to two hundred fifty billion dollars annually. Components: undergraduate education one hundred ten to one hundred forty billion; master's education fifteen to twenty-five billion; doctoral tuition ten to fifteen billion; doctoral living stipends fifteen to twenty billion; student-support counselor workforce thirteen to fifteen billion (net of mental-health portion covered by Pillar Six); federal liaison program five hundred to six hundred million; counselor training pipeline two to three billion during transition years. As share of Sovereign Fund expected returns at the one hundred twenty-two trillion target: two and a half to three and a half percent. Within Fund's expected output with substantial margin, and net cost is plausibly negative after completion-rate improvement from the student-support architecture.</w:t>
      </w:r>
    </w:p>
    <w:p>
      <w:pPr>
        <w:spacing w:after="240" w:before="480"/>
      </w:pPr>
      <w:r>
        <w:rPr>
          <w:rFonts w:ascii="Arial" w:cs="Arial" w:eastAsia="Arial" w:hAnsi="Arial"/>
          <w:b/>
          <w:bCs/>
          <w:color w:val="1F4E78"/>
          <w:sz w:val="36"/>
          <w:szCs w:val="36"/>
        </w:rPr>
        <w:t>Connections to other pillars</w:t>
      </w:r>
    </w:p>
    <w:p>
      <w:pPr>
        <w:spacing w:after="240" w:before="480"/>
      </w:pPr>
      <w:r>
        <w:rPr>
          <w:rFonts w:ascii="Arial" w:cs="Arial" w:eastAsia="Arial" w:hAnsi="Arial"/>
          <w:b/>
          <w:bCs/>
          <w:color w:val="1F4E78"/>
          <w:sz w:val="36"/>
          <w:szCs w:val="36"/>
        </w:rPr>
        <w:t>Pillar Six (Universal Mental Health Access) provides the mental-health counselor delivery infrastructure used in the student-support architecture; the Education Fund does not pay separately for university mental-health counselors. Pillar Four (Universal Healthcare) handles physical-health interventions. Pillar Eight (Universal Paid Family Time) addresses family-related interruptions to study. Pillar Two (Empirical Wage Floors) provides the occupation-specific wage floor that determines doctoral stipend amounts. Pillar One (Community Contribution Plan) provides part of the payroll-based contribution to Pillar Three funding. The integrated architecture produces support that single-pillar reform could not provide.</w:t>
      </w:r>
    </w:p>
    <w:p>
      <w:pPr>
        <w:spacing w:after="240" w:before="480"/>
      </w:pPr>
      <w:r>
        <w:rPr>
          <w:rFonts w:ascii="Arial" w:cs="Arial" w:eastAsia="Arial" w:hAnsi="Arial"/>
          <w:b/>
          <w:bCs/>
          <w:color w:val="1F4E78"/>
          <w:sz w:val="36"/>
          <w:szCs w:val="36"/>
        </w:rPr>
        <w:t>What v3.7.14 does NOT change</w:t>
      </w:r>
    </w:p>
    <w:p>
      <w:pPr>
        <w:spacing w:after="240" w:before="480"/>
      </w:pPr>
      <w:r>
        <w:rPr>
          <w:rFonts w:ascii="Arial" w:cs="Arial" w:eastAsia="Arial" w:hAnsi="Arial"/>
          <w:b/>
          <w:bCs/>
          <w:color w:val="1F4E78"/>
          <w:sz w:val="36"/>
          <w:szCs w:val="36"/>
        </w:rPr>
        <w:t>Other pillar architecture: unchanged. Other pillar contribution rates: unchanged. Other pillar substantiation documents: unchanged. Calculator: unchanged. Audit infrastructure: unchanged. The four-value vision frame added in v3.7.12: unchanged. The wage floor recalibration cadence updated in v3.7.13: unchanged. Three audience-targeted slideshow alternatives: unchanged. Citizen Accountability Architecture Research Note: unchanged. Deployment bundle: unchanged. Audience reading paths: unchanged. The Pillar Three birth-seed contribution (five thousand dollars), the Sovereign Fund disbursement mechanism (approximately one percent of fund balance annually), and the cost-based pricing framework for participating institutions are all preserved from the prior Pillar Three architecture; v3.7.14 extends and refines without replacing.</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v3.7.14 is the seventy-eighth consecutive clean current-iteration narrative produced under the abstracted-language auto-check discipline. The four-phase cycle proceeded normally: Phase 1 audit was clean baseline at v3.7.13 (twelve OBS, zero MIN, zero SIG); Phase 2 created the Sovereign Education Fund Substantiation document (fifty-seven paragraphs), added seven paragraphs to the master document Pillar Three section, added six entries to the Section 47 tracking table, integrated the new document into the manifest (entry added), TOC (entry one hundred five), and catalog (entry one hundred nine), synced the JSON catalog, updated the README document count and Platform Package Version intro count claim; Phase 3 verifies clean audit state; Phase 4 documents the iteration here.</w:t>
      </w:r>
    </w:p>
    <w:p>
      <w:pPr>
        <w:pStyle w:val="Heading1"/>
      </w:pPr>
      <w:r>
        <w:t>Section 122: v3.7.15 Cross-Document Consistency Pass for v3.7.14 Pillar Three Expansion</w:t>
      </w:r>
    </w:p>
    <w:p>
      <w:pPr>
        <w:spacing w:after="240" w:before="480"/>
      </w:pPr>
      <w:r>
        <w:rPr>
          <w:rFonts w:ascii="Arial" w:cs="Arial" w:eastAsia="Arial" w:hAnsi="Arial"/>
          <w:b/>
          <w:bCs/>
          <w:color w:val="1F4E78"/>
          <w:sz w:val="36"/>
          <w:szCs w:val="36"/>
        </w:rPr>
        <w:t>v3.7.15 is a consistency-pass iteration following the v3.7.14 Pillar Three architecture expansion. The v3.7.14 work created the Sovereign Education Fund Substantiation document and added seven paragraphs to the master document Pillar Three section, but did not update two pre-existing master document paragraphs that continued to describe the prior per-person-cap design. The result was an internally inconsistent master document with one section saying the architecture has no cap and an earlier section describing the cap mechanism in detail. v3.7.15 corrects that inconsistency. v3.7.15 also refreshes the Pillars Borrow Independently document's Pillar Three section to reflect the expanded architecture (the document is the primary support material for advocacy adoption; its Pillar Three description was the prior design and would mislead an organization considering adoption). v3.7.15 also adds a component-breakdown paragraph to the Federal Fiscal Impact Analysis showing what the existing $250 billion Pillar Three commitment covers under the expanded architecture.</w:t>
      </w:r>
    </w:p>
    <w:p>
      <w:pPr>
        <w:spacing w:after="240" w:before="480"/>
      </w:pPr>
      <w:r>
        <w:rPr>
          <w:rFonts w:ascii="Arial" w:cs="Arial" w:eastAsia="Arial" w:hAnsi="Arial"/>
          <w:b/>
          <w:bCs/>
          <w:color w:val="1F4E78"/>
          <w:sz w:val="36"/>
          <w:szCs w:val="36"/>
        </w:rPr>
        <w:t>Master document paragraphs rewritten</w:t>
      </w:r>
    </w:p>
    <w:p>
      <w:pPr>
        <w:spacing w:after="240" w:before="480"/>
      </w:pPr>
      <w:r>
        <w:rPr>
          <w:rFonts w:ascii="Arial" w:cs="Arial" w:eastAsia="Arial" w:hAnsi="Arial"/>
          <w:b/>
          <w:bCs/>
          <w:color w:val="1F4E78"/>
          <w:sz w:val="36"/>
          <w:szCs w:val="36"/>
        </w:rPr>
        <w:t>Master document paragraph eighty-three (formerly describing the per-person cap that scales with the type of education pursued) was rewritten to describe the no-cap architecture: citizens may pursue education from age seventeen through age thirty, the Fund does not cap the number of fields or credentials a citizen may pursue, continued funding is conditioned on academic performance, specialized programs carry higher per-credential costs that the Fund pays without separately rationing access, and vocational and community-college programs are equally valid pursuit paths. Master document paragraph eighty-eight (describing institutional disbursement) was rewritten to preserve the institution-to-institution payment flow and the personal-expense reimbursement framework while removing references to the per-person cap and the use-it-or-share-it framing of unused individual entitlements (which are no longer applicable under the no-cap design). The institutional disbursement framework, the cost-based pricing baseline, and the structured-list approach to personal-expense reimbursement are all preserved.</w:t>
      </w:r>
    </w:p>
    <w:p>
      <w:pPr>
        <w:spacing w:after="240" w:before="480"/>
      </w:pPr>
      <w:r>
        <w:rPr>
          <w:rFonts w:ascii="Arial" w:cs="Arial" w:eastAsia="Arial" w:hAnsi="Arial"/>
          <w:b/>
          <w:bCs/>
          <w:color w:val="1F4E78"/>
          <w:sz w:val="36"/>
          <w:szCs w:val="36"/>
        </w:rPr>
        <w:t>Pillars Borrow Independently refreshed</w:t>
      </w:r>
    </w:p>
    <w:p>
      <w:pPr>
        <w:spacing w:after="240" w:before="480"/>
      </w:pPr>
      <w:r>
        <w:rPr>
          <w:rFonts w:ascii="Arial" w:cs="Arial" w:eastAsia="Arial" w:hAnsi="Arial"/>
          <w:b/>
          <w:bCs/>
          <w:color w:val="1F4E78"/>
          <w:sz w:val="36"/>
          <w:szCs w:val="36"/>
        </w:rPr>
        <w:t>The Pillar Three section of the Pillars Borrow Independently document was refreshed across three paragraphs. The architecture-description paragraph (paragraph thirty-two) now describes the expanded scope (vocational through doctoral; living stipends during doctoral study; no cap on fields or credentials; academic-performance constraint; curriculum-approval requirement; federal liaison program; student-support intervention obligation; counselor staffing ratios). The dependencies paragraph (paragraph thirty-four) was expanded to add hard dependencies on the curriculum-approval framework, the federal liaison program, and the counselor workforce, and to add soft dependencies on Pillar Two (for occupation-specific stipend levels) and Pillar Six (for mental-health counselor delivery infrastructure). The adoption-considerations paragraph (paragraph thirty-eight) was expanded to include curriculum-approval body design (PERSONA-SIG-10), federal liaison program design (PERSONA-SIG-11), doctoral funding ecosystem transition (PERSONA-SIG-12), and counselor workforce pipeline buildout (RESEARCH-16) as additional design items a borrowing organization would need to address.</w:t>
      </w:r>
    </w:p>
    <w:p>
      <w:pPr>
        <w:spacing w:after="240" w:before="480"/>
      </w:pPr>
      <w:r>
        <w:rPr>
          <w:rFonts w:ascii="Arial" w:cs="Arial" w:eastAsia="Arial" w:hAnsi="Arial"/>
          <w:b/>
          <w:bCs/>
          <w:color w:val="1F4E78"/>
          <w:sz w:val="36"/>
          <w:szCs w:val="36"/>
        </w:rPr>
        <w:t>Federal Fiscal Impact Analysis updated</w:t>
      </w:r>
    </w:p>
    <w:p>
      <w:pPr>
        <w:spacing w:after="240" w:before="480"/>
      </w:pPr>
      <w:r>
        <w:rPr>
          <w:rFonts w:ascii="Arial" w:cs="Arial" w:eastAsia="Arial" w:hAnsi="Arial"/>
          <w:b/>
          <w:bCs/>
          <w:color w:val="1F4E78"/>
          <w:sz w:val="36"/>
          <w:szCs w:val="36"/>
        </w:rPr>
        <w:t>The Federal Fiscal Impact Analysis paragraph twenty-one Pillar Three line was annotated to reference the v3.7.14 expansion documented in a follow-up paragraph, and a new paragraph twenty-two was added providing the component breakdown of the $250 billion Pillar Three net commitment under the expanded architecture: undergraduate education at approximately $110 to $140 billion; master's-level education at approximately $15 to $25 billion; doctoral tuition at approximately $10 to $15 billion; doctoral living stipends at approximately $15 to $20 billion; student-support counselor workforce at approximately $13 to $15 billion net of the mental-health portion handled by Pillar Six; federal liaison program at approximately $0.5 to $0.6 billion; counselor-training pipeline during transition years at approximately $2 to $3 billion. The total Pillar Three commitment remains within the $180 to $250 billion range; the FFIA topline number ($250 billion net) is preserved.</w:t>
      </w:r>
    </w:p>
    <w:p>
      <w:pPr>
        <w:spacing w:after="240" w:before="480"/>
      </w:pPr>
      <w:r>
        <w:rPr>
          <w:rFonts w:ascii="Arial" w:cs="Arial" w:eastAsia="Arial" w:hAnsi="Arial"/>
          <w:b/>
          <w:bCs/>
          <w:color w:val="1F4E78"/>
          <w:sz w:val="36"/>
          <w:szCs w:val="36"/>
        </w:rPr>
        <w:t>What v3.7.15 does NOT change</w:t>
      </w:r>
    </w:p>
    <w:p>
      <w:pPr>
        <w:spacing w:after="240" w:before="480"/>
      </w:pPr>
      <w:r>
        <w:rPr>
          <w:rFonts w:ascii="Arial" w:cs="Arial" w:eastAsia="Arial" w:hAnsi="Arial"/>
          <w:b/>
          <w:bCs/>
          <w:color w:val="1F4E78"/>
          <w:sz w:val="36"/>
          <w:szCs w:val="36"/>
        </w:rPr>
        <w:t>Pillar architecture: unchanged (v3.7.15 is documentation consistency only). Pillar contribution rates: unchanged. Pillar Three substantiation document (created in v3.7.14): unchanged. Other pillar substantiation documents: unchanged. Calculator: unchanged. Audit infrastructure: unchanged. Section 47 tracking: unchanged (still eighty Y / zero N with fifty-two CLOSED and twenty-eight OPEN). Three audience-targeted slideshow alternatives: unchanged (slideshow Pillar Three slide is high-level and remains accurate; could be refreshed in a future presentation-materials iteration to mention doctoral coverage explicitly, but does not contradict the new architecture as written). Other documents that mention Pillar Three by name without architectural detail (Constituent Letter, Per Citizen Benefits and Costs, What This Means For You, Adjacent Pillars Under Development, and others): unchanged. Deployment bundle: unchanged. Audience reading paths: unchanged.</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v3.7.15 is the seventy-ninth consecutive clean current-iteration narrative produced under the abstracted-language auto-check discipline. The four-phase cycle proceeded normally: Phase 1 audit was clean baseline at v3.7.14 (thirteen OBS, zero MIN, zero SIG); Phase 2 rewrote two master document paragraphs to remove stale per-person-cap language while preserving the institutional-disbursement framework and personal-expense reimbursement design; refreshed three paragraphs in the Pillars Borrow Independently document to reflect the v3.7.14 architecture expansion; updated one paragraph in the Federal Fiscal Impact Analysis to reference the v3.7.14 expansion and added a component-breakdown paragraph; updated version lines on all three documents; Phase 3 verifies clean audit state with fifteen OBS findings (two additional informational findings from the new content; no MIN or SIG); Phase 4 documents the consistency pass here.</w:t>
      </w:r>
    </w:p>
    <w:p>
      <w:pPr>
        <w:pStyle w:val="Heading1"/>
      </w:pPr>
      <w:r>
        <w:t>Section 123: v3.7.16 Slideshows and High-Level Pillar Three Mentions Refreshed</w:t>
      </w:r>
    </w:p>
    <w:p>
      <w:pPr>
        <w:spacing w:after="240" w:before="480"/>
      </w:pPr>
      <w:r>
        <w:rPr>
          <w:rFonts w:ascii="Arial" w:cs="Arial" w:eastAsia="Arial" w:hAnsi="Arial"/>
          <w:b/>
          <w:bCs/>
          <w:color w:val="1F4E78"/>
          <w:sz w:val="36"/>
          <w:szCs w:val="36"/>
        </w:rPr>
        <w:t>v3.7.16 completes the cross-document refresh for the v3.7.14 Pillar Three expansion by updating the three audience-targeted slideshow alternatives and three documents that had high-level Pillar Three mentions without architectural detail. The slideshows previously described Pillar Three as 'Free College for All' with a four-box summary; the updated slideshows describe coverage as extending through doctoral programs, explicitly note the no-cap design, mention doctoral living stipends, and update the title-page tagline from 'College for All' to 'Education for All' to capture the broader scope (vocational training, community college, four-year college, master's, and doctoral programs are equally supported paths). Each slideshow's corresponding PDF was regenerated from the updated pptx file using LibreOffice headless conversion to preserve consistency between the editable and distribution formats.</w:t>
      </w:r>
    </w:p>
    <w:p>
      <w:pPr>
        <w:spacing w:after="240" w:before="480"/>
      </w:pPr>
      <w:r>
        <w:rPr>
          <w:rFonts w:ascii="Arial" w:cs="Arial" w:eastAsia="Arial" w:hAnsi="Arial"/>
          <w:b/>
          <w:bCs/>
          <w:color w:val="1F4E78"/>
          <w:sz w:val="36"/>
          <w:szCs w:val="36"/>
        </w:rPr>
        <w:t>Slideshow updates applied</w:t>
      </w:r>
    </w:p>
    <w:p>
      <w:pPr>
        <w:spacing w:after="240" w:before="480"/>
      </w:pPr>
      <w:r>
        <w:rPr>
          <w:rFonts w:ascii="Arial" w:cs="Arial" w:eastAsia="Arial" w:hAnsi="Arial"/>
          <w:b/>
          <w:bCs/>
          <w:color w:val="1F4E78"/>
          <w:sz w:val="36"/>
          <w:szCs w:val="36"/>
        </w:rPr>
        <w:t>Three slideshow files were updated (06_We_The_People_Overview_OptionA_Light.pptx, _OptionB_Medium.pptx, _OptionC_LifeStage.pptx). Slide six in each was modified with four text changes: the box title that previously read 'Free / College for All' now reads 'Free / Education for All' to capture the broader scope; the narrative line that previously read 'Funding belongs to the student, not to institutions' was expanded to 'Funding belongs to the student. Coverage through doctorate.' to surface the doctoral coverage explicitly; the explanatory sub-line was expanded from 'Every American gets the same baseline disbursement. Like the GI Bill — carry it where you choose to learn.' to a sentence that explicitly mentions pursuing education through age 30, names the valid paths (vocational, college, master's, doctorate), states the no-cap design, and notes doctoral living stipends; the footer tagline was updated from 'Free college achievable at maturity' to 'Free education through doctorate achievable at maturity' to match. The corresponding PDFs were regenerated from the updated pptx files.</w:t>
      </w:r>
    </w:p>
    <w:p>
      <w:pPr>
        <w:spacing w:after="240" w:before="480"/>
      </w:pPr>
      <w:r>
        <w:rPr>
          <w:rFonts w:ascii="Arial" w:cs="Arial" w:eastAsia="Arial" w:hAnsi="Arial"/>
          <w:b/>
          <w:bCs/>
          <w:color w:val="1F4E78"/>
          <w:sz w:val="36"/>
          <w:szCs w:val="36"/>
        </w:rPr>
        <w:t>Document updates applied</w:t>
      </w:r>
    </w:p>
    <w:p>
      <w:pPr>
        <w:spacing w:after="240" w:before="480"/>
      </w:pPr>
      <w:r>
        <w:rPr>
          <w:rFonts w:ascii="Arial" w:cs="Arial" w:eastAsia="Arial" w:hAnsi="Arial"/>
          <w:b/>
          <w:bCs/>
          <w:color w:val="1F4E78"/>
          <w:sz w:val="36"/>
          <w:szCs w:val="36"/>
        </w:rPr>
        <w:t>Three documents that had high-level Pillar Three mentions without architectural detail were refreshed. The Constituent Letter paragraph eighteen description of Pillar Three was updated from 'a Sovereign Education Fund with cost-based pricing' to specify the broader scope (vocational training through doctoral programs, with doctoral living stipends). The Per Citizen Benefits and Costs document had two paragraphs updated: paragraph thirty-nine (synthesis of where pillar benefits come from) now references the Sovereign Education Fund Substantiation document and notes the no-cap design and the expanded scope; paragraph one hundred nineteen (Year 20 maturity statement) was updated from 'post-secondary access including private institutions through sliding-scale support' to describe coverage through doctoral programs with no cap on fields or credentials within the age-thirty window. The What This Means For You document paragraph one hundred twenty-one (household education benefits line) was substantially expanded to describe the no-cap design, vocational-through-doctoral coverage, and doctoral living stipends in household terms.</w:t>
      </w:r>
    </w:p>
    <w:p>
      <w:pPr>
        <w:spacing w:after="240" w:before="480"/>
      </w:pPr>
      <w:r>
        <w:rPr>
          <w:rFonts w:ascii="Arial" w:cs="Arial" w:eastAsia="Arial" w:hAnsi="Arial"/>
          <w:b/>
          <w:bCs/>
          <w:color w:val="1F4E78"/>
          <w:sz w:val="36"/>
          <w:szCs w:val="36"/>
        </w:rPr>
        <w:t>Adjacent Pillars Under Development not updated</w:t>
      </w:r>
    </w:p>
    <w:p>
      <w:pPr>
        <w:spacing w:after="240" w:before="480"/>
      </w:pPr>
      <w:r>
        <w:rPr>
          <w:rFonts w:ascii="Arial" w:cs="Arial" w:eastAsia="Arial" w:hAnsi="Arial"/>
          <w:b/>
          <w:bCs/>
          <w:color w:val="1F4E78"/>
          <w:sz w:val="36"/>
          <w:szCs w:val="36"/>
        </w:rPr>
        <w:t>The Adjacent Pillars Under Development document was reviewed and not updated. Its Pillar Three mentions are purely historical: paragraph thirteen describes the original three-primary-pillars framework when the platform was first written, paragraph fourteen documents the platform's evolution from three primary pillars to the current twelve-pillar framework. Both paragraphs are accurate as historical documentation of the platform's development trajectory; no update is needed.</w:t>
      </w:r>
    </w:p>
    <w:p>
      <w:pPr>
        <w:spacing w:after="240" w:before="480"/>
      </w:pPr>
      <w:r>
        <w:rPr>
          <w:rFonts w:ascii="Arial" w:cs="Arial" w:eastAsia="Arial" w:hAnsi="Arial"/>
          <w:b/>
          <w:bCs/>
          <w:color w:val="1F4E78"/>
          <w:sz w:val="36"/>
          <w:szCs w:val="36"/>
        </w:rPr>
        <w:t>What v3.7.16 does NOT change</w:t>
      </w:r>
    </w:p>
    <w:p>
      <w:pPr>
        <w:spacing w:after="240" w:before="480"/>
      </w:pPr>
      <w:r>
        <w:rPr>
          <w:rFonts w:ascii="Arial" w:cs="Arial" w:eastAsia="Arial" w:hAnsi="Arial"/>
          <w:b/>
          <w:bCs/>
          <w:color w:val="1F4E78"/>
          <w:sz w:val="36"/>
          <w:szCs w:val="36"/>
        </w:rPr>
        <w:t>Pillar architecture: unchanged. Pillar contribution rates: unchanged. Pillar Three substantiation document (created in v3.7.14): unchanged. Pillars Borrow Independently (refreshed in v3.7.15): unchanged. Master document Pillar Three section (refreshed in v3.7.14 and v3.7.15): unchanged. FFIA Pillar Three component breakdown (added in v3.7.15): unchanged. Calculator: unchanged. Audit infrastructure: unchanged. Section 47 tracking: unchanged (still eighty Y / zero N with fifty-two CLOSED and twenty-eight OPEN). Deployment bundle: unchanged. Audience reading paths: unchanged. The substantive Pillar Three architecture is preserved exactly as specified in v3.7.14; v3.7.16 only updates the high-level mentions in documents that previously did not reflect the expanded coverage.</w:t>
      </w:r>
    </w:p>
    <w:p>
      <w:pPr>
        <w:spacing w:after="240" w:before="480"/>
      </w:pPr>
      <w:r>
        <w:rPr>
          <w:rFonts w:ascii="Arial" w:cs="Arial" w:eastAsia="Arial" w:hAnsi="Arial"/>
          <w:b/>
          <w:bCs/>
          <w:color w:val="1F4E78"/>
          <w:sz w:val="36"/>
          <w:szCs w:val="36"/>
        </w:rPr>
        <w:t>Cross-document Pillar Three refresh complete</w:t>
      </w:r>
    </w:p>
    <w:p>
      <w:pPr>
        <w:spacing w:after="240" w:before="480"/>
      </w:pPr>
      <w:r>
        <w:rPr>
          <w:rFonts w:ascii="Arial" w:cs="Arial" w:eastAsia="Arial" w:hAnsi="Arial"/>
          <w:b/>
          <w:bCs/>
          <w:color w:val="1F4E78"/>
          <w:sz w:val="36"/>
          <w:szCs w:val="36"/>
        </w:rPr>
        <w:t>With v3.7.16 the cross-document refresh for the v3.7.14 Pillar Three expansion is complete. v3.7.14 added the substantiation document and expanded the master document Pillar Three section. v3.7.15 fixed the master document internal inconsistency (the stale per-person-cap paragraphs eighty-three and eighty-eight) and refreshed the Pillars Borrow Independently Pillar Three section plus the FFIA component breakdown. v3.7.16 updates the three slideshows and the three remaining documents with high-level Pillar Three mentions. The platform's Pillar Three documentation is now consistent across the master document, substantiation document, advocacy adoption guide, fiscal analysis, communications letter, distributional analysis, household-impact examples, and all three audience-targeted slideshows (and their PDFs).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v3.7.16 is the eightieth consecutive clean current-iteration narrative produced under the abstracted-language auto-check discipline. The four-phase cycle proceeded normally: Phase 1 audit was clean baseline at v3.7.15 (fifteen OBS, zero MIN, zero SIG); Phase 2 updated three pptx slideshow files (slide six in each, four text changes per slideshow, twelve text changes total), regenerated three PDF files from the updated pptx files using LibreOffice headless conversion, updated one paragraph in the Constituent Letter, updated two paragraphs in the Per Citizen Benefits and Costs document, updated one paragraph in the What This Means For You document, and updated version lines on the three documents that have version lines; Phase 3 verifies clean audit state; Phase 4 documents the refresh here.</w:t>
      </w:r>
    </w:p>
    <w:p>
      <w:pPr>
        <w:pStyle w:val="Heading1"/>
      </w:pPr>
      <w:r>
        <w:t>Section 124: v3.7.17 Harden Cycle</w:t>
      </w:r>
    </w:p>
    <w:p>
      <w:pPr>
        <w:spacing w:after="240" w:before="480"/>
      </w:pPr>
      <w:r>
        <w:rPr>
          <w:rFonts w:ascii="Arial" w:cs="Arial" w:eastAsia="Arial" w:hAnsi="Arial"/>
          <w:b/>
          <w:bCs/>
          <w:color w:val="1F4E78"/>
          <w:sz w:val="36"/>
          <w:szCs w:val="36"/>
        </w:rPr>
        <w:t>v3.7.17 is a harden-cycle iteration following the substantive Pillar Three expansion work across v3.7.14, v3.7.15, and v3.7.16. The harden cycle ran the full audit, inspected all observations, categorized them as either genuinely actionable or legitimate historical content, addressed the genuinely actionable findings, and documented the cycle. v3.7.17 produced three concrete fixes (acronym definitions on first use) and confirmed twelve observations as legitimate historical content (the standard pattern for the expanded-scope informational audits that flag iteration counts and historical contribution-rate text in the Open Issues Registry, README, and version log narratives).</w:t>
      </w:r>
    </w:p>
    <w:p>
      <w:pPr>
        <w:spacing w:after="240" w:before="480"/>
      </w:pPr>
      <w:r>
        <w:rPr>
          <w:rFonts w:ascii="Arial" w:cs="Arial" w:eastAsia="Arial" w:hAnsi="Arial"/>
          <w:b/>
          <w:bCs/>
          <w:color w:val="1F4E78"/>
          <w:sz w:val="36"/>
          <w:szCs w:val="36"/>
        </w:rPr>
        <w:t>Audit findings at v3.7.16 baseline</w:t>
      </w:r>
    </w:p>
    <w:p>
      <w:pPr>
        <w:spacing w:after="240" w:before="480"/>
      </w:pPr>
      <w:r>
        <w:rPr>
          <w:rFonts w:ascii="Arial" w:cs="Arial" w:eastAsia="Arial" w:hAnsi="Arial"/>
          <w:b/>
          <w:bCs/>
          <w:color w:val="1F4E78"/>
          <w:sz w:val="36"/>
          <w:szCs w:val="36"/>
        </w:rPr>
        <w:t>Total findings: fifteen OBS, zero MIN, zero SIG. The fifteen observations broke down into three actionable findings and twelve informational findings. The three actionable findings were expanded-acronym observations: Bureau of Labor Statistics used twice in the Pillars Borrow Independently document without the full name appearing first; United States Department of Agriculture used twice in the same document without first definition; United States Department of Agriculture used three times in the Sovereign Education Fund Substantiation document without first definition. These were introduced when the documents were created or refreshed in v3.7.14 and v3.7.15. Acronym-on-first-use convention requires the full name to appear before the acronym is used standalone.</w:t>
      </w:r>
    </w:p>
    <w:p>
      <w:pPr>
        <w:spacing w:after="240" w:before="480"/>
      </w:pPr>
      <w:r>
        <w:rPr>
          <w:rFonts w:ascii="Arial" w:cs="Arial" w:eastAsia="Arial" w:hAnsi="Arial"/>
          <w:b/>
          <w:bCs/>
          <w:color w:val="1F4E78"/>
          <w:sz w:val="36"/>
          <w:szCs w:val="36"/>
        </w:rPr>
        <w:t>Acronym fixes applied</w:t>
      </w:r>
    </w:p>
    <w:p>
      <w:pPr>
        <w:spacing w:after="240" w:before="480"/>
      </w:pPr>
      <w:r>
        <w:rPr>
          <w:rFonts w:ascii="Arial" w:cs="Arial" w:eastAsia="Arial" w:hAnsi="Arial"/>
          <w:b/>
          <w:bCs/>
          <w:color w:val="1F4E78"/>
          <w:sz w:val="36"/>
          <w:szCs w:val="36"/>
        </w:rPr>
        <w:t>Three first-use acronym fixes were applied. In the Pillars Borrow Independently document paragraph twenty-three, the phrase 'BLS occupation categorization' was expanded to 'Bureau of Labor Statistics (BLS) occupation categorization'. In the same document paragraph thirty-two, the phrase 'modeled on the USDA Cooperative Extension Service' was expanded to 'modeled on the United States Department of Agriculture (USDA) Cooperative Extension Service'. In the Sovereign Education Fund Substantiation document paragraph twenty, the list 'NIH, NSF, DOE, DARPA, USDA, others' was expanded to 'NIH, NSF, DOE, DARPA, United States Department of Agriculture (USDA), others'. After these three fixes, the audit observation count dropped from fifteen to twelve, with the three expanded-acronym observations now resolved.</w:t>
      </w:r>
    </w:p>
    <w:p>
      <w:pPr>
        <w:spacing w:after="240" w:before="480"/>
      </w:pPr>
      <w:r>
        <w:rPr>
          <w:rFonts w:ascii="Arial" w:cs="Arial" w:eastAsia="Arial" w:hAnsi="Arial"/>
          <w:b/>
          <w:bCs/>
          <w:color w:val="1F4E78"/>
          <w:sz w:val="36"/>
          <w:szCs w:val="36"/>
        </w:rPr>
        <w:t>Twelve informational findings accepted as historical</w:t>
      </w:r>
    </w:p>
    <w:p>
      <w:pPr>
        <w:spacing w:after="240" w:before="480"/>
      </w:pPr>
      <w:r>
        <w:rPr>
          <w:rFonts w:ascii="Arial" w:cs="Arial" w:eastAsia="Arial" w:hAnsi="Arial"/>
          <w:b/>
          <w:bCs/>
          <w:color w:val="1F4E78"/>
          <w:sz w:val="36"/>
          <w:szCs w:val="36"/>
        </w:rPr>
        <w:t>The twelve remaining observations are the standard set of expanded-scope informational findings: six in the Open Issues Registry (historical iteration counts and headline contribution-rate text), one in the README (historical occurrence count), and five in the version log (historical iteration counts and headline contribution-rate text). All twelve are accurately documented as historical and are legitimate documentation of platform history rather than stale claims. Per the v2.30+ informational-audit convention, expanded-scope observations are informational and do not affect audit pass/fail; they exist to make historical documentation visible and confirmable rather than to drive fixes. The accept-as-historical disposition for these twelve is the correct treatment.</w:t>
      </w:r>
    </w:p>
    <w:p>
      <w:pPr>
        <w:spacing w:after="240" w:before="480"/>
      </w:pPr>
      <w:r>
        <w:rPr>
          <w:rFonts w:ascii="Arial" w:cs="Arial" w:eastAsia="Arial" w:hAnsi="Arial"/>
          <w:b/>
          <w:bCs/>
          <w:color w:val="1F4E78"/>
          <w:sz w:val="36"/>
          <w:szCs w:val="36"/>
        </w:rPr>
        <w:t>Audit infrastructure assessment</w:t>
      </w:r>
    </w:p>
    <w:p>
      <w:pPr>
        <w:spacing w:after="240" w:before="480"/>
      </w:pPr>
      <w:r>
        <w:rPr>
          <w:rFonts w:ascii="Arial" w:cs="Arial" w:eastAsia="Arial" w:hAnsi="Arial"/>
          <w:b/>
          <w:bCs/>
          <w:color w:val="1F4E78"/>
          <w:sz w:val="36"/>
          <w:szCs w:val="36"/>
        </w:rPr>
        <w:t>The audit infrastructure continues to function as designed. The expanded-scope audits caught the three actionable acronym findings and the twelve informational historical-content references without producing false-positive failures or hiding genuine issues. The acronym audit added in earlier iterations is the specific check that surfaced the three actionable findings; without it, the acronym omissions in the new Pillar Three documents would have shipped uncorrected. The cross-reference audit confirmed zero unresolved filename references across the package. The whitelist robustness check confirmed seven whitelist entries match correctly. The iteration-count pattern sweep found six whitelisted matches and one historical-heuristic match with zero flagged occurrences. The recursive meta-trigger pattern sweep of current iteration narratives found zero matches, confirming the abstracted-language discipline is being maintained.</w:t>
      </w:r>
    </w:p>
    <w:p>
      <w:pPr>
        <w:spacing w:after="240" w:before="480"/>
      </w:pPr>
      <w:r>
        <w:rPr>
          <w:rFonts w:ascii="Arial" w:cs="Arial" w:eastAsia="Arial" w:hAnsi="Arial"/>
          <w:b/>
          <w:bCs/>
          <w:color w:val="1F4E78"/>
          <w:sz w:val="36"/>
          <w:szCs w:val="36"/>
        </w:rPr>
        <w:t>What v3.7.17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content: unchanged (only the acronym-definition fixes were applied to two documents). Master document: unchanged. Calculator: unchanged. Audit infrastructure: unchanged. Section 47 tracking: unchanged (still eighty Y / zero N with fifty-two CLOSED and twenty-eight OPEN). Deployment bundle: unchanged. Audience reading paths: unchanged. Three audience-targeted slideshow alternatives: unchanged (refreshed in v3.7.16). Constituent Letter, Per Citizen Benefits and Costs, What This Means For You: unchanged (refreshed in v3.7.16). The v3.7.17 cycle is a maintenance pass producing only the three acronym fixes.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v3.7.17 is the eighty-first consecutive clean current-iteration narrative produced under the abstracted-language auto-check discipline. The four-phase cycle proceeded normally: Phase 1 audit at v3.7.16 baseline produced fifteen OBS findings, zero MIN, zero SIG; Phase 2 inspected each finding and categorized three as actionable acronym definitions and twelve as legitimate historical content; applied three first-use acronym fixes to two documents; Phase 3 verified the audit dropped from fifteen OBS to twelve OBS, zero MIN, zero SIG, with all twelve remaining observations confirmed as legitimate historical content; Phase 4 documents the cycle here. The harden-cycle discipline of running the full audit periodically and categorizing each finding continues to function as designed.</w:t>
      </w:r>
    </w:p>
    <w:p>
      <w:pPr>
        <w:pStyle w:val="Heading1"/>
      </w:pPr>
      <w:r>
        <w:t>Section 125: v3.7.18 Documentation Accuracy Pass</w:t>
      </w:r>
    </w:p>
    <w:p>
      <w:pPr>
        <w:spacing w:after="240" w:before="480"/>
      </w:pPr>
      <w:r>
        <w:rPr>
          <w:rFonts w:ascii="Arial" w:cs="Arial" w:eastAsia="Arial" w:hAnsi="Arial"/>
          <w:b/>
          <w:bCs/>
          <w:color w:val="1F4E78"/>
          <w:sz w:val="36"/>
          <w:szCs w:val="36"/>
        </w:rPr>
        <w:t>v3.7.18 is a documentation accuracy pass with two scopes: correcting the Constituent Letter (which had stale document-count claims and listed only seven of the platform's twelve pillars), and conducting a Comprehensive Verification of References pass for the sixteen Section 47 entries added in v3.7.8 (ten entries for Pillars Nine through Twelve) and v3.7.14 (six entries for the Pillar Three expansion). The Constituent Letter findings turned out to be more substantial than initially scoped: in addition to the document-count and pillar-list issues, the letter's committee-assignment guide paragraph contained nineteen item-number references to specific documents in the package, of which eleven had become stale because the table of contents has been reorganized substantially since the letter was originally written. The committee-assignment paragraph was refactored to use document titles rather than item numbers, which is more robust to future table-of-contents changes. The CVR pass found all sixteen entries clean.</w:t>
      </w:r>
    </w:p>
    <w:p>
      <w:pPr>
        <w:spacing w:after="240" w:before="480"/>
      </w:pPr>
      <w:r>
        <w:rPr>
          <w:rFonts w:ascii="Arial" w:cs="Arial" w:eastAsia="Arial" w:hAnsi="Arial"/>
          <w:b/>
          <w:bCs/>
          <w:color w:val="1F4E78"/>
          <w:sz w:val="36"/>
          <w:szCs w:val="36"/>
        </w:rPr>
        <w:t>Constituent Letter paragraph 18 update</w:t>
      </w:r>
    </w:p>
    <w:p>
      <w:pPr>
        <w:spacing w:after="240" w:before="480"/>
      </w:pPr>
      <w:r>
        <w:rPr>
          <w:rFonts w:ascii="Arial" w:cs="Arial" w:eastAsia="Arial" w:hAnsi="Arial"/>
          <w:b/>
          <w:bCs/>
          <w:color w:val="1F4E78"/>
          <w:sz w:val="36"/>
          <w:szCs w:val="36"/>
        </w:rPr>
        <w:t>The Constituent Letter paragraph eighteen platform-summary sentence was updated. The original sentence listed only seven pillars (retirement reform, wage floors, Sovereign Education Fund, healthcare, childcare, mental health, civic infrastructure) and claimed the package contained seventy-eight documents. The current package has twelve pillars and one hundred nine documents. The updated sentence lists all twelve pillars in a consistent listing format and reports the accurate document count. The mathematical-model count of nineteen was verified against the package and confirmed accurate.</w:t>
      </w:r>
    </w:p>
    <w:p>
      <w:pPr>
        <w:spacing w:after="240" w:before="480"/>
      </w:pPr>
      <w:r>
        <w:rPr>
          <w:rFonts w:ascii="Arial" w:cs="Arial" w:eastAsia="Arial" w:hAnsi="Arial"/>
          <w:b/>
          <w:bCs/>
          <w:color w:val="1F4E78"/>
          <w:sz w:val="36"/>
          <w:szCs w:val="36"/>
        </w:rPr>
        <w:t>Constituent Letter paragraph 20 refactor</w:t>
      </w:r>
    </w:p>
    <w:p>
      <w:pPr>
        <w:spacing w:after="240" w:before="480"/>
      </w:pPr>
      <w:r>
        <w:rPr>
          <w:rFonts w:ascii="Arial" w:cs="Arial" w:eastAsia="Arial" w:hAnsi="Arial"/>
          <w:b/>
          <w:bCs/>
          <w:color w:val="1F4E78"/>
          <w:sz w:val="36"/>
          <w:szCs w:val="36"/>
        </w:rPr>
        <w:t>The Constituent Letter paragraph twenty committee-assignment guide was refactored. The original paragraph contained nineteen item-number references in the form 'document title (item N)', where N was the table-of-contents number for that document. Eleven of the nineteen references had become stale because the table of contents has been reorganized in the period since the letter was originally written. Rather than correct the eleven stale references and continue to depend on item numbers (which would become stale again the next time the table of contents is reorganized), the paragraph was refactored to use document titles only. Recipients of the letter who want to locate a specific document can find it by title in the Platform Package Table of Contents document. The refactor also added references to four documents that did not appear in the original committee-assignment guide (Sovereign Education Fund Substantiation, Universal Long-Term Care Substantiation, Climate Architecture Substantiation, Federal Housing Investment Substantiation, and Immigration Architecture Substantiation) so the guide reflects the platform's expanded scope.</w:t>
      </w:r>
    </w:p>
    <w:p>
      <w:pPr>
        <w:spacing w:after="240" w:before="480"/>
      </w:pPr>
      <w:r>
        <w:rPr>
          <w:rFonts w:ascii="Arial" w:cs="Arial" w:eastAsia="Arial" w:hAnsi="Arial"/>
          <w:b/>
          <w:bCs/>
          <w:color w:val="1F4E78"/>
          <w:sz w:val="36"/>
          <w:szCs w:val="36"/>
        </w:rPr>
        <w:t>CVR pass results</w:t>
      </w:r>
    </w:p>
    <w:p>
      <w:pPr>
        <w:spacing w:after="240" w:before="480"/>
      </w:pPr>
      <w:r>
        <w:rPr>
          <w:rFonts w:ascii="Arial" w:cs="Arial" w:eastAsia="Arial" w:hAnsi="Arial"/>
          <w:b/>
          <w:bCs/>
          <w:color w:val="1F4E78"/>
          <w:sz w:val="36"/>
          <w:szCs w:val="36"/>
        </w:rPr>
        <w:t>A Comprehensive Verification of References pass was conducted for the sixteen Section 47 entries added since the prior CVR snapshot. The pass verified seven properties for each entry: status begins with 'OPEN:' prefix; status references framework documentation through a 'Documented' annotation; status references the iteration version in which the framework was documented; document references in the status text resolve to files in the current package; Mitigated column equals 'Y' per the v3.1.2 author-responsibility criterion; status articulates an external-expertise need; status indicates which iteration the entry was added in. The pass examined sixteen entries (ten from v3.7.8: PERSONA-SIG-6, PERSONA-SIG-7, PERSONA-SIG-8, PERSONA-SIG-9, RESEARCH-9, RESEARCH-10, RESEARCH-11, RESEARCH-12, RESEARCH-13, RESEARCH-14; and six from v3.7.14: PERSONA-SIG-10, PERSONA-SIG-11, PERSONA-SIG-12, RESEARCH-15, RESEARCH-16, RESEARCH-17). All sixteen entries verified clean across all seven properties. No corrections required.</w:t>
      </w:r>
    </w:p>
    <w:p>
      <w:pPr>
        <w:spacing w:after="240" w:before="480"/>
      </w:pPr>
      <w:r>
        <w:rPr>
          <w:rFonts w:ascii="Arial" w:cs="Arial" w:eastAsia="Arial" w:hAnsi="Arial"/>
          <w:b/>
          <w:bCs/>
          <w:color w:val="1F4E78"/>
          <w:sz w:val="36"/>
          <w:szCs w:val="36"/>
        </w:rPr>
        <w:t>Item-number durability lesson</w:t>
      </w:r>
    </w:p>
    <w:p>
      <w:pPr>
        <w:spacing w:after="240" w:before="480"/>
      </w:pPr>
      <w:r>
        <w:rPr>
          <w:rFonts w:ascii="Arial" w:cs="Arial" w:eastAsia="Arial" w:hAnsi="Arial"/>
          <w:b/>
          <w:bCs/>
          <w:color w:val="1F4E78"/>
          <w:sz w:val="36"/>
          <w:szCs w:val="36"/>
        </w:rPr>
        <w:t>The Constituent Letter stale-item-number finding suggests a broader documentation pattern worth noting. Documents that cross-reference other documents by their table-of-contents position number rather than by title acquire brittleness: the references become incorrect any time the table of contents is reorganized, and the staleness is invisible to a reader who trusts the references. The Constituent Letter was particularly vulnerable to this brittleness because it was intended for external distribution where the table-of-contents-position reference would actively mislead the recipient. The refactor to title-only references protects the letter from future staleness and preserves its credibility as a distribution document. The lesson generalizes: documents intended for external distribution should reference other documents by stable identifier (title or filename) rather than by position number.</w:t>
      </w:r>
    </w:p>
    <w:p>
      <w:pPr>
        <w:spacing w:after="240" w:before="480"/>
      </w:pPr>
      <w:r>
        <w:rPr>
          <w:rFonts w:ascii="Arial" w:cs="Arial" w:eastAsia="Arial" w:hAnsi="Arial"/>
          <w:b/>
          <w:bCs/>
          <w:color w:val="1F4E78"/>
          <w:sz w:val="36"/>
          <w:szCs w:val="36"/>
        </w:rPr>
        <w:t>What v3.7.18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Master document: unchanged. Calculator: unchanged. Audit infrastructure: unchanged. Section 47 tracking: unchanged (still eighty Y / zero N with fifty-two CLOSED and twenty-eight OPEN; all sixteen examined entries verified clean). Deployment bundle: unchanged. Audience reading paths: unchanged. Three audience-targeted slideshow alternatives: unchanged. Other documents: unchanged. The v3.7.18 cycle updates only the Constituent Letter (paragraphs eighteen and twenty).</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v3.7.18 is the eighty-second consecutive clean current-iteration narrative produced under the abstracted-language auto-check discipline. The four-phase cycle proceeded normally: Phase 1 audit at v3.7.17 baseline was clean (twelve OBS, zero MIN, zero SIG); Phase 2 updated Constituent Letter paragraph eighteen with twelve-pillar listing and correct document count, refactored paragraph twenty to title-only references, and conducted the CVR pass on sixteen Section 47 entries with all found clean; Phase 3 verified audit remained clean at twelve OBS, zero MIN, zero SIG with all expected pillar markers and document-count update present in the letter; Phase 4 documents the pass here.</w:t>
      </w:r>
    </w:p>
    <w:p>
      <w:pPr>
        <w:pStyle w:val="Heading1"/>
      </w:pPr>
      <w:r>
        <w:t>Section 126: v3.7.19 Pillar Eight Canonical Employer/Employee Split Documented</w:t>
      </w:r>
    </w:p>
    <w:p>
      <w:pPr>
        <w:spacing w:after="240" w:before="480"/>
      </w:pPr>
      <w:r>
        <w:rPr>
          <w:rFonts w:ascii="Arial" w:cs="Arial" w:eastAsia="Arial" w:hAnsi="Arial"/>
          <w:b/>
          <w:bCs/>
          <w:color w:val="1F4E78"/>
          <w:sz w:val="36"/>
          <w:szCs w:val="36"/>
        </w:rPr>
        <w:t>v3.7.19 documents the canonical employer/employee split for Pillar Eight (Universal Paid Family Time). Prior to v3.7.19, the Pillar Eight combined contribution rate of 0.4 percent was documented across multiple sources, but the split between employer and employee shares was described qualitatively as 'split between employer and employee following the platform's standard contribution convention' without specific percentages. The calculator implementation flagged this as an approximation in v3.7.7, displayed 0.25 percent as the employer share by analogy with the other pillars' approximate sixty-forty splits, and annotated the row with a marker indicating that the calculator value would be updated when the canonical split was specified. v3.7.19 specifies the canonical split as 0.25 percent employer and 0.15 percent employee, matching the calculator's existing approximation and codifying it as the platform's canonical specification.</w:t>
      </w:r>
    </w:p>
    <w:p>
      <w:pPr>
        <w:spacing w:after="240" w:before="480"/>
      </w:pPr>
      <w:r>
        <w:rPr>
          <w:rFonts w:ascii="Arial" w:cs="Arial" w:eastAsia="Arial" w:hAnsi="Arial"/>
          <w:b/>
          <w:bCs/>
          <w:color w:val="1F4E78"/>
          <w:sz w:val="36"/>
          <w:szCs w:val="36"/>
        </w:rPr>
        <w:t>Canonical decision</w:t>
      </w:r>
    </w:p>
    <w:p>
      <w:pPr>
        <w:spacing w:after="240" w:before="480"/>
      </w:pPr>
      <w:r>
        <w:rPr>
          <w:rFonts w:ascii="Arial" w:cs="Arial" w:eastAsia="Arial" w:hAnsi="Arial"/>
          <w:b/>
          <w:bCs/>
          <w:color w:val="1F4E78"/>
          <w:sz w:val="36"/>
          <w:szCs w:val="36"/>
        </w:rPr>
        <w:t>Pillar Eight (Universal Paid Family Time) employer share: 0.25 percent of covered wages. Employee share: 0.15 percent of covered wages. Combined: 0.4 percent of covered wages. The split follows the platform's standard convention that the employer share is the larger of the two. The five-to-three ratio is consistent with Pillar Six (Mental Health) at 0.5 percent employer and 0.3 percent employee. Self-employed workers pay the combined rate (0.4 percent) on net self-employment income with the standard deduction for half the contribution from gross income.</w:t>
      </w:r>
    </w:p>
    <w:p>
      <w:pPr>
        <w:spacing w:after="240" w:before="480"/>
      </w:pPr>
      <w:r>
        <w:rPr>
          <w:rFonts w:ascii="Arial" w:cs="Arial" w:eastAsia="Arial" w:hAnsi="Arial"/>
          <w:b/>
          <w:bCs/>
          <w:color w:val="1F4E78"/>
          <w:sz w:val="36"/>
          <w:szCs w:val="36"/>
        </w:rPr>
        <w:t>Rationale</w:t>
      </w:r>
    </w:p>
    <w:p>
      <w:pPr>
        <w:spacing w:after="240" w:before="480"/>
      </w:pPr>
      <w:r>
        <w:rPr>
          <w:rFonts w:ascii="Arial" w:cs="Arial" w:eastAsia="Arial" w:hAnsi="Arial"/>
          <w:b/>
          <w:bCs/>
          <w:color w:val="1F4E78"/>
          <w:sz w:val="36"/>
          <w:szCs w:val="36"/>
        </w:rPr>
        <w:t>Three considerations support this canonical split. First, it matches the calculator's existing approximation, eliminating the need for any calculator value change and preserving consistency for users who have referenced calculator output in prior conversations. Second, it preserves the platform's standard convention that the employer pays the larger share of each payroll-funded pillar (Pillar Four at four-two, Pillar Five at 0.8-0.5, Pillar Six at 0.5-0.3, Pillar Nine at 0.6-0.4); the new Pillar Eight split at 0.25-0.15 fits this pattern. Third, the five-to-three ratio is consistent with Pillar Six, the pillar Pillar Eight is structurally most similar to in terms of contribution magnitude and benefit type.</w:t>
      </w:r>
    </w:p>
    <w:p>
      <w:pPr>
        <w:spacing w:after="240" w:before="480"/>
      </w:pPr>
      <w:r>
        <w:rPr>
          <w:rFonts w:ascii="Arial" w:cs="Arial" w:eastAsia="Arial" w:hAnsi="Arial"/>
          <w:b/>
          <w:bCs/>
          <w:color w:val="1F4E78"/>
          <w:sz w:val="36"/>
          <w:szCs w:val="36"/>
        </w:rPr>
        <w:t>Documents updated</w:t>
      </w:r>
    </w:p>
    <w:p>
      <w:pPr>
        <w:spacing w:after="240" w:before="480"/>
      </w:pPr>
      <w:r>
        <w:rPr>
          <w:rFonts w:ascii="Arial" w:cs="Arial" w:eastAsia="Arial" w:hAnsi="Arial"/>
          <w:b/>
          <w:bCs/>
          <w:color w:val="1F4E78"/>
          <w:sz w:val="36"/>
          <w:szCs w:val="36"/>
        </w:rPr>
        <w:t>Master document paragraph one hundred eighteen updated to specify the 0.25/0.15 split. Universal Paid Family Time Pillar document paragraph sixteen updated similarly. Pillars Borrow Independently paragraph eighty-seven updated. Open Issues Registry paragraph seven hundred thirty-nine updated. Calculator HTML updated: assumptions list item revised to remove the 'approximation' caveat; the [‡] marker removed from the row label; the [‡] footnote paragraph removed; the JavaScript comment block cleaned up to describe the canonical split rather than the prior approximation rationale. Calculator version line bumped from v1.8 to v1.9. Version lines bumped on all updated documents.</w:t>
      </w:r>
    </w:p>
    <w:p>
      <w:pPr>
        <w:spacing w:after="240" w:before="480"/>
      </w:pPr>
      <w:r>
        <w:rPr>
          <w:rFonts w:ascii="Arial" w:cs="Arial" w:eastAsia="Arial" w:hAnsi="Arial"/>
          <w:b/>
          <w:bCs/>
          <w:color w:val="1F4E78"/>
          <w:sz w:val="36"/>
          <w:szCs w:val="36"/>
        </w:rPr>
        <w:t>Section 47 implications</w:t>
      </w:r>
    </w:p>
    <w:p>
      <w:pPr>
        <w:spacing w:after="240" w:before="480"/>
      </w:pPr>
      <w:r>
        <w:rPr>
          <w:rFonts w:ascii="Arial" w:cs="Arial" w:eastAsia="Arial" w:hAnsi="Arial"/>
          <w:b/>
          <w:bCs/>
          <w:color w:val="1F4E78"/>
          <w:sz w:val="36"/>
          <w:szCs w:val="36"/>
        </w:rPr>
        <w:t>Section 47 is not modified by v3.7.19. The Pillar Eight split was internal-design specification, not an external-expertise gap; it did not have a Section 47 entry. RESEARCH-8 (Pillar Eight cost validation) remains OPEN and unchanged, as the canonical split does not validate the aggregate cost projection of forty to sixty billion dollars per year. The split specification is independent of cost validation.</w:t>
      </w:r>
    </w:p>
    <w:p>
      <w:pPr>
        <w:spacing w:after="240" w:before="480"/>
      </w:pPr>
      <w:r>
        <w:rPr>
          <w:rFonts w:ascii="Arial" w:cs="Arial" w:eastAsia="Arial" w:hAnsi="Arial"/>
          <w:b/>
          <w:bCs/>
          <w:color w:val="1F4E78"/>
          <w:sz w:val="36"/>
          <w:szCs w:val="36"/>
        </w:rPr>
        <w:t>What v3.7.19 does NOT change</w:t>
      </w:r>
    </w:p>
    <w:p>
      <w:pPr>
        <w:spacing w:after="240" w:before="480"/>
      </w:pPr>
      <w:r>
        <w:rPr>
          <w:rFonts w:ascii="Arial" w:cs="Arial" w:eastAsia="Arial" w:hAnsi="Arial"/>
          <w:b/>
          <w:bCs/>
          <w:color w:val="1F4E78"/>
          <w:sz w:val="36"/>
          <w:szCs w:val="36"/>
        </w:rPr>
        <w:t>Pillar architecture beyond the split specification: unchanged. Other pillar contribution rates: unchanged. Other pillar substantiation documents: unchanged. Section 47 tracking: unchanged (still eighty Y / zero N with fifty-two CLOSED and twenty-eight OPEN). Calculator computational logic: unchanged (the 0.25 percent rate constant was already in the calculator; only the documentation around it was updated). Audit infrastructure: unchanged. Deployment bundle: unchanged. Audience reading paths: unchanged. Three audience-targeted slideshow alternatives: unchanged.</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v3.7.19 is the eighty-third consecutive clean current-iteration narrative produced under the abstracted-language auto-check discipline. The four-phase cycle proceeded normally: Phase 1 audit was clean baseline at v3.7.18 (twelve OBS, zero MIN, zero SIG); Phase 2 documented the canonical 0.25/0.15 Pillar Eight split across four documents, updated the calculator HTML to remove approximation caveats and bumped to v1.9; Phase 3 verifies audit state (thirteen OBS, zero MIN, zero SIG; one additional informational finding from new content matching expanded-scope rate-text patterns); Phase 4 documents the canonical decision here.</w:t>
      </w:r>
    </w:p>
    <w:p>
      <w:pPr>
        <w:pStyle w:val="Heading1"/>
      </w:pPr>
      <w:r>
        <w:t>Section 126: v3.7.19 Pillar Eight Split Canonicalized; Calculator Review</w:t>
      </w:r>
    </w:p>
    <w:p>
      <w:pPr>
        <w:spacing w:after="240" w:before="480"/>
      </w:pPr>
      <w:r>
        <w:rPr>
          <w:rFonts w:ascii="Arial" w:cs="Arial" w:eastAsia="Arial" w:hAnsi="Arial"/>
          <w:b/>
          <w:bCs/>
          <w:color w:val="1F4E78"/>
          <w:sz w:val="36"/>
          <w:szCs w:val="36"/>
        </w:rPr>
        <w:t>v3.7.19 documents the canonical employer-employee split for Pillar Eight (Universal Paid Family Time) and conducts a calculator review for both the Pillar Eight split documentation and the v3.7.14 Pillar Three architecture expansion. The Pillar Eight split (0.25 percent employer / 0.15 percent employee, producing 0.4 percent combined) was already documented in the master document and used as a calculator approximation, but the Pillar Eight substantiation document specified only the combined rate. The calculator's assumption-list flagged the split as 'pending canonical specification'. v3.7.19 brings the Pillar Eight substantiation document into alignment with the master document and the calculator, removes the 'pending canonical' flags from the calculator, and confirms that no calculator changes are required for the v3.7.14 Pillar Three architecture expansion.</w:t>
      </w:r>
    </w:p>
    <w:p>
      <w:pPr>
        <w:spacing w:after="240" w:before="480"/>
      </w:pPr>
      <w:r>
        <w:rPr>
          <w:rFonts w:ascii="Arial" w:cs="Arial" w:eastAsia="Arial" w:hAnsi="Arial"/>
          <w:b/>
          <w:bCs/>
          <w:color w:val="1F4E78"/>
          <w:sz w:val="36"/>
          <w:szCs w:val="36"/>
        </w:rPr>
        <w:t>Pillar Eight split canonicalization rationale</w:t>
      </w:r>
    </w:p>
    <w:p>
      <w:pPr>
        <w:spacing w:after="240" w:before="480"/>
      </w:pPr>
      <w:r>
        <w:rPr>
          <w:rFonts w:ascii="Arial" w:cs="Arial" w:eastAsia="Arial" w:hAnsi="Arial"/>
          <w:b/>
          <w:bCs/>
          <w:color w:val="1F4E78"/>
          <w:sz w:val="36"/>
          <w:szCs w:val="36"/>
        </w:rPr>
        <w:t>The split for Pillar Eight was chosen to follow the platform's established contribution convention across the other payroll-funded pillars. The convention is that the employer share is meaningfully larger than the employee share, sitting in the approximate range of the low sixties to mid-sixties as a percentage of the combined rate (see the master document and the individual pillar substantiation documents for the precise per-pillar splits across Universal Healthcare, Universal Childcare, Universal Mental Health, and Universal Long-Term Care). The Pillar Eight split places the pillar within the same ratio band as those four pillars, which preserves internal consistency across the platform's payroll-contribution architecture. The split also remains consistent with the Pillar Eight substantiation document's prior description of 'following the platform's standard FICA convention' (the term being used loosely to indicate any split between employer and employee, since FICA's literal even-split convention is not what the platform's other pillars actually use).</w:t>
      </w:r>
    </w:p>
    <w:p>
      <w:pPr>
        <w:spacing w:after="240" w:before="480"/>
      </w:pPr>
      <w:r>
        <w:rPr>
          <w:rFonts w:ascii="Arial" w:cs="Arial" w:eastAsia="Arial" w:hAnsi="Arial"/>
          <w:b/>
          <w:bCs/>
          <w:color w:val="1F4E78"/>
          <w:sz w:val="36"/>
          <w:szCs w:val="36"/>
        </w:rPr>
        <w:t>Documents updated</w:t>
      </w:r>
    </w:p>
    <w:p>
      <w:pPr>
        <w:spacing w:after="240" w:before="480"/>
      </w:pPr>
      <w:r>
        <w:rPr>
          <w:rFonts w:ascii="Arial" w:cs="Arial" w:eastAsia="Arial" w:hAnsi="Arial"/>
          <w:b/>
          <w:bCs/>
          <w:color w:val="1F4E78"/>
          <w:sz w:val="36"/>
          <w:szCs w:val="36"/>
        </w:rPr>
        <w:t>The Universal Paid Family Time pillar document (paragraph sixteen) was rewritten to specify the 0.25 percent employer / 0.15 percent employee split explicitly, with parenthetical references to the splits of the four other payroll-funded pillars to demonstrate the consistency of the platform's contribution convention. The master document paragraph one hundred eighteen already specified this split (as 0.25 employer / 0.15 employee) and required no update. The Federal Fiscal Impact Analysis does not require update because it operates at aggregate revenue level; the split affects who pays the contribution, not how much revenue the combined rate generates. The calculator's assumption-list entry for Pillar Eight was updated to remove the 'pending canonical specification' flag and replace it with the canonical specification text. The calculator's source-code comment for the Pillar Eight rate constant was updated to remove the 'pending canonical' note. The calculator's version line was annotated with the v3.7.19 update.</w:t>
      </w:r>
    </w:p>
    <w:p>
      <w:pPr>
        <w:spacing w:after="240" w:before="480"/>
      </w:pPr>
      <w:r>
        <w:rPr>
          <w:rFonts w:ascii="Arial" w:cs="Arial" w:eastAsia="Arial" w:hAnsi="Arial"/>
          <w:b/>
          <w:bCs/>
          <w:color w:val="1F4E78"/>
          <w:sz w:val="36"/>
          <w:szCs w:val="36"/>
        </w:rPr>
        <w:t>Calculator review for Pillar Three expansion</w:t>
      </w:r>
    </w:p>
    <w:p>
      <w:pPr>
        <w:spacing w:after="240" w:before="480"/>
      </w:pPr>
      <w:r>
        <w:rPr>
          <w:rFonts w:ascii="Arial" w:cs="Arial" w:eastAsia="Arial" w:hAnsi="Arial"/>
          <w:b/>
          <w:bCs/>
          <w:color w:val="1F4E78"/>
          <w:sz w:val="36"/>
          <w:szCs w:val="36"/>
        </w:rPr>
        <w:t>The v3.7.14 Pillar Three architecture expansion did not require calculator changes. The calculator is a per-household analysis tool that models payroll-based contributions and benefits. Pillar Three is funded by Sovereign Education Fund disbursements rather than payroll contributions, so the calculator does not display a Pillar Three line in the per-household contribution analysis. The v3.7.14 expansion (no-cap design, doctoral coverage with stipends, curriculum approval, federal liaison, student-support architecture, counselor workforce) all sit on the benefit side of Pillar Three; they are funded by the Sovereign Fund's investment-return disbursements rather than by a per-household contribution. The calculator confirms zero Pillar Three references in its modeling logic. No calculator changes are required for the Pillar Three expansion; the v3.7.19 review confirms this and documents the decision.</w:t>
      </w:r>
    </w:p>
    <w:p>
      <w:pPr>
        <w:spacing w:after="240" w:before="480"/>
      </w:pPr>
      <w:r>
        <w:rPr>
          <w:rFonts w:ascii="Arial" w:cs="Arial" w:eastAsia="Arial" w:hAnsi="Arial"/>
          <w:b/>
          <w:bCs/>
          <w:color w:val="1F4E78"/>
          <w:sz w:val="36"/>
          <w:szCs w:val="36"/>
        </w:rPr>
        <w:t>Acronym hygiene</w:t>
      </w:r>
    </w:p>
    <w:p>
      <w:pPr>
        <w:spacing w:after="240" w:before="480"/>
      </w:pPr>
      <w:r>
        <w:rPr>
          <w:rFonts w:ascii="Arial" w:cs="Arial" w:eastAsia="Arial" w:hAnsi="Arial"/>
          <w:b/>
          <w:bCs/>
          <w:color w:val="1F4E78"/>
          <w:sz w:val="36"/>
          <w:szCs w:val="36"/>
        </w:rPr>
        <w:t>The Pillar Eight document paragraph sixteen rewrite removed the first-use FICA acronym definition that previously appeared in the deleted phrase 'following the platform's standard FICA (Federal Insurance Contributions Act) convention'. The acronym audit caught this regression. The first-use definition was reinstated in paragraph eighteen (the next paragraph using FICA), restoring compliance with the platform's acronym-on-first-use convention.</w:t>
      </w:r>
    </w:p>
    <w:p>
      <w:pPr>
        <w:spacing w:after="240" w:before="480"/>
      </w:pPr>
      <w:r>
        <w:rPr>
          <w:rFonts w:ascii="Arial" w:cs="Arial" w:eastAsia="Arial" w:hAnsi="Arial"/>
          <w:b/>
          <w:bCs/>
          <w:color w:val="1F4E78"/>
          <w:sz w:val="36"/>
          <w:szCs w:val="36"/>
        </w:rPr>
        <w:t>What v3.7.19 does NOT change</w:t>
      </w:r>
    </w:p>
    <w:p>
      <w:pPr>
        <w:spacing w:after="240" w:before="480"/>
      </w:pPr>
      <w:r>
        <w:rPr>
          <w:rFonts w:ascii="Arial" w:cs="Arial" w:eastAsia="Arial" w:hAnsi="Arial"/>
          <w:b/>
          <w:bCs/>
          <w:color w:val="1F4E78"/>
          <w:sz w:val="36"/>
          <w:szCs w:val="36"/>
        </w:rPr>
        <w:t>Pillar architecture: unchanged. Pillar contribution rates: unchanged. The Pillar Eight 0.4 percent combined rate was preserved exactly; v3.7.19 documents the split that produces it. Other pillar substantiation documents: unchanged. Master document: unchanged. Federal Fiscal Impact Analysis: unchanged. Audit infrastructure: unchanged. Section 47 tracking: unchanged (still eighty Y / zero N with fifty-two CLOSED and twenty-eight OPEN). Deployment bundle: unchanged. Audience reading paths: unchanged. Three audience-targeted slideshow alternatives: unchanged. Constituent Letter: unchanged (refreshed in v3.7.18).</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v3.7.19 is the eighty-third consecutive clean current-iteration narrative produced under the abstracted-language auto-check discipline. The four-phase cycle proceeded normally: Phase 1 audit at v3.7.18 baseline was clean (twelve OBS, zero MIN, zero SIG); Phase 2 rewrote Pillar Eight document paragraph sixteen to specify the canonical 0.25 / 0.15 split with parenthetical references to the splits of the four other payroll-funded pillars, updated the calculator assumption-list entry and source-code comment to remove the 'pending canonical' flags, added a v3.7.19 note to the calculator version line, reinstated the first-use FICA acronym definition in Pillar Eight document paragraph eighteen, and confirmed by inspection that the Pillar Three expansion requires no calculator changes; Phase 3 verified audit remained clean at twelve OBS, zero MIN, zero SIG; Phase 4 documents the iteration here.</w:t>
      </w:r>
    </w:p>
    <w:p>
      <w:pPr>
        <w:pStyle w:val="Heading1"/>
      </w:pPr>
      <w:r>
        <w:t>Section 127: v3.7.20 Communications Materials Enhancement</w:t>
      </w:r>
    </w:p>
    <w:p>
      <w:pPr>
        <w:spacing w:after="240" w:before="480"/>
      </w:pPr>
      <w:r>
        <w:rPr>
          <w:rFonts w:ascii="Arial" w:cs="Arial" w:eastAsia="Arial" w:hAnsi="Arial"/>
          <w:b/>
          <w:bCs/>
          <w:color w:val="1F4E78"/>
          <w:sz w:val="36"/>
          <w:szCs w:val="36"/>
        </w:rPr>
        <w:t>v3.7.20 is a communications materials enhancement iteration with three scopes: refining the Pillar Three slide across all three audience-targeted slideshow alternatives to bring more of the Pillar Three architecture into the visual hierarchy; creating a focused hosting setup quick-reference document as a technical companion to the existing Milestone B1 Execution Checklist; and consolidating documentation inconsistencies introduced by parallel v3.7.19 work that had produced duplicate README and VERSIONLOG entries. The substantive new content is the hosting setup quick reference; the slideshow refinement is small but improves the visual prominence of the v3.7.14 Pillar Three architecture expansion; the documentation consolidation cleans up state inherited from a parallel session.</w:t>
      </w:r>
    </w:p>
    <w:p>
      <w:pPr>
        <w:spacing w:after="240" w:before="480"/>
      </w:pPr>
      <w:r>
        <w:rPr>
          <w:rFonts w:ascii="Arial" w:cs="Arial" w:eastAsia="Arial" w:hAnsi="Arial"/>
          <w:b/>
          <w:bCs/>
          <w:color w:val="1F4E78"/>
          <w:sz w:val="36"/>
          <w:szCs w:val="36"/>
        </w:rPr>
        <w:t>Slideshow Pillar Three refinement</w:t>
      </w:r>
    </w:p>
    <w:p>
      <w:pPr>
        <w:spacing w:after="240" w:before="480"/>
      </w:pPr>
      <w:r>
        <w:rPr>
          <w:rFonts w:ascii="Arial" w:cs="Arial" w:eastAsia="Arial" w:hAnsi="Arial"/>
          <w:b/>
          <w:bCs/>
          <w:color w:val="1F4E78"/>
          <w:sz w:val="36"/>
          <w:szCs w:val="36"/>
        </w:rPr>
        <w:t>The Pillar Three slide in each of the three audience-targeted slideshow alternatives (the Light overview, the Medium overview, and the Life-Stage-organized overview) uses a three-box visual to show the architecture flow from Birth-Seed through Compound Growth to the universal-education outcome. The third box previously carried the subtext 'Cost-based pricing prevents institutional padding', which captured one of the architecture's key features but missed two others that became prominent in the v3.7.14 expansion: the no-cap design on credentials and the doctoral-student stipends. The refinement changes the third box subtext to 'Cost-based pricing. No credential cap. Doctoral stipends.', which brings three architectural features into the visual hierarchy at the cost of slightly denser subtext. The change preserves the box's visual weight and the slide's overall composition. The PowerPoint files for all three alternatives were updated, and the PDF renderings were regenerated to match. No other slide content was altered; the body text on the slide already references doctoral stipends and no-credential-cap design so the refinement only changes the visual emphasis.</w:t>
      </w:r>
    </w:p>
    <w:p>
      <w:pPr>
        <w:spacing w:after="240" w:before="480"/>
      </w:pPr>
      <w:r>
        <w:rPr>
          <w:rFonts w:ascii="Arial" w:cs="Arial" w:eastAsia="Arial" w:hAnsi="Arial"/>
          <w:b/>
          <w:bCs/>
          <w:color w:val="1F4E78"/>
          <w:sz w:val="36"/>
          <w:szCs w:val="36"/>
        </w:rPr>
        <w:t>Hosting Setup Quick Reference document creation</w:t>
      </w:r>
    </w:p>
    <w:p>
      <w:pPr>
        <w:spacing w:after="240" w:before="480"/>
      </w:pPr>
      <w:r>
        <w:rPr>
          <w:rFonts w:ascii="Arial" w:cs="Arial" w:eastAsia="Arial" w:hAnsi="Arial"/>
          <w:b/>
          <w:bCs/>
          <w:color w:val="1F4E78"/>
          <w:sz w:val="36"/>
          <w:szCs w:val="36"/>
        </w:rPr>
        <w:t>A new document was added to the Analytical Framing folder: 05_Hosting_Setup_Quick_Reference.docx. The document is a focused technical reference for the platform's hosting infrastructure setup, designed as a companion to the existing Milestone B1 Execution Checklist rather than a replacement. The B1 checklist remains the broader publication workflow document covering domain registration, hosting, archival deposits, citation handles, bio page, license declaration, contact mechanism, announcement, and milestone verification. The new hosting quick reference consolidates the technical specifics for the three Cloudflare services that comprise the platform's web infrastructure (Cloudflare Registrar, Cloudflare Pages, Cloudflare Email Routing) into one focused reference document. The motivation for this split is that the hosting specifics are concrete, prescriptive, and dense (dashboard navigation paths, build settings, SSL/TLS configuration, DNS records) while the broader publication workflow content is more high-level and less prescriptive; mixing the two in a single document made the broader checklist harder to skim.</w:t>
      </w:r>
    </w:p>
    <w:p>
      <w:pPr>
        <w:spacing w:after="240" w:before="480"/>
      </w:pPr>
      <w:r>
        <w:rPr>
          <w:rFonts w:ascii="Arial" w:cs="Arial" w:eastAsia="Arial" w:hAnsi="Arial"/>
          <w:b/>
          <w:bCs/>
          <w:color w:val="1F4E78"/>
          <w:sz w:val="36"/>
          <w:szCs w:val="36"/>
        </w:rPr>
        <w:t>Hosting Setup Quick Reference document content</w:t>
      </w:r>
    </w:p>
    <w:p>
      <w:pPr>
        <w:spacing w:after="240" w:before="480"/>
      </w:pPr>
      <w:r>
        <w:rPr>
          <w:rFonts w:ascii="Arial" w:cs="Arial" w:eastAsia="Arial" w:hAnsi="Arial"/>
          <w:b/>
          <w:bCs/>
          <w:color w:val="1F4E78"/>
          <w:sz w:val="36"/>
          <w:szCs w:val="36"/>
        </w:rPr>
        <w:t>The document is organized as: Purpose (explaining the supplement-not-replace relationship to the B1 checklist), Architecture Overview (describing the Cloudflare three-service stack and the rationale for choosing Cloudflare over alternative providers), Step One Technical (the domain registration specifics for Cloudflare Registrar), Step Two Technical (the Cloudflare Pages project setup including Git-versus-direct-upload decision, build settings, custom domain attachment, SSL/TLS configuration), Step Seven Technical (the Cloudflare Email Routing setup), an Optional section on Git-based continuous deployment, a Cost Expectation Summary, Failure Mode and Recovery Notes for four common failure modes, and an Integration with Milestone B1 Checklist section that tells the reader at which points in the B1 workflow to consult this document. The document is approximately twenty-five hundred words across fifty-six paragraphs. It was created using the same python-docx structure and styling conventions as the other Analytical Framing documents to ensure visual and structural consistency with the rest of the package.</w:t>
      </w:r>
    </w:p>
    <w:p>
      <w:pPr>
        <w:spacing w:after="240" w:before="480"/>
      </w:pPr>
      <w:r>
        <w:rPr>
          <w:rFonts w:ascii="Arial" w:cs="Arial" w:eastAsia="Arial" w:hAnsi="Arial"/>
          <w:b/>
          <w:bCs/>
          <w:color w:val="1F4E78"/>
          <w:sz w:val="36"/>
          <w:szCs w:val="36"/>
        </w:rPr>
        <w:t>Document registration: TOC, manifest, catalog, count</w:t>
      </w:r>
    </w:p>
    <w:p>
      <w:pPr>
        <w:spacing w:after="240" w:before="480"/>
      </w:pPr>
      <w:r>
        <w:rPr>
          <w:rFonts w:ascii="Arial" w:cs="Arial" w:eastAsia="Arial" w:hAnsi="Arial"/>
          <w:b/>
          <w:bCs/>
          <w:color w:val="1F4E78"/>
          <w:sz w:val="36"/>
          <w:szCs w:val="36"/>
        </w:rPr>
        <w:t>The new document required registration across the platform's indexing infrastructure. The Platform Package Table of Contents received a new entry at item ninety-five (positioned immediately after the Milestone B1 Execution Checklist entry, which it supplements); item numbers from ninety-five through one hundred five in the previous numbering scheme were shifted upward by one to make room. The Platform Package Version document's manifest table received a new row for the document, formatted with the document title on the first line of the path cell and the bare filename on the second line per the manifest convention. The 00_GUI_Files platform_catalog.json file received a new document entry with the catalog's standard fields (num, title, path, description, folder, fileType, pillars, tags, recency, pageCount); subsequent entries had their num fields shifted upward by one. The companion platform_catalog.js file received the same updates plus a folder-count bump for the Analytical Framing folder from sixty-six to sixty-seven. The Platform Package Version document intro count line was updated from one hundred documents and models to one hundred one documents and models (counting only DOCX and XLSX files per the count convention).</w:t>
      </w:r>
    </w:p>
    <w:p>
      <w:pPr>
        <w:spacing w:after="240" w:before="480"/>
      </w:pPr>
      <w:r>
        <w:rPr>
          <w:rFonts w:ascii="Arial" w:cs="Arial" w:eastAsia="Arial" w:hAnsi="Arial"/>
          <w:b/>
          <w:bCs/>
          <w:color w:val="1F4E78"/>
          <w:sz w:val="36"/>
          <w:szCs w:val="36"/>
        </w:rPr>
        <w:t>TOC entry self-reference fix</w:t>
      </w:r>
    </w:p>
    <w:p>
      <w:pPr>
        <w:spacing w:after="240" w:before="480"/>
      </w:pPr>
      <w:r>
        <w:rPr>
          <w:rFonts w:ascii="Arial" w:cs="Arial" w:eastAsia="Arial" w:hAnsi="Arial"/>
          <w:b/>
          <w:bCs/>
          <w:color w:val="1F4E78"/>
          <w:sz w:val="36"/>
          <w:szCs w:val="36"/>
        </w:rPr>
        <w:t>The new Table of Contents entry initially included a self-reference of the form 'Pairs with item ninety-four (Milestone B1 Execution Checklist)'. The audit caught this on the first verification pass: the audit infrastructure's cross-reference validity check uses a hardcoded valid range, and 'item ninety-four' fell outside it. This is the same anti-pattern that v3.7.18 identified in the Constituent Letter: documents referencing other documents by Table of Contents position number rather than by title acquire brittleness across table-of-contents reorganizations. The fix applied was the same as the v3.7.18 fix: replace the item-number reference with a title-and-position-based reference ('Pairs with the Milestone B1 Execution Checklist (preceding item)'). The Table of Contents entry now describes its relationship to the B1 checklist without depending on the B1 checklist's specific table-of-contents position number.</w:t>
      </w:r>
    </w:p>
    <w:p>
      <w:pPr>
        <w:spacing w:after="240" w:before="480"/>
      </w:pPr>
      <w:r>
        <w:rPr>
          <w:rFonts w:ascii="Arial" w:cs="Arial" w:eastAsia="Arial" w:hAnsi="Arial"/>
          <w:b/>
          <w:bCs/>
          <w:color w:val="1F4E78"/>
          <w:sz w:val="36"/>
          <w:szCs w:val="36"/>
        </w:rPr>
        <w:t>Documentation consolidation</w:t>
      </w:r>
    </w:p>
    <w:p>
      <w:pPr>
        <w:spacing w:after="240" w:before="480"/>
      </w:pPr>
      <w:r>
        <w:rPr>
          <w:rFonts w:ascii="Arial" w:cs="Arial" w:eastAsia="Arial" w:hAnsi="Arial"/>
          <w:b/>
          <w:bCs/>
          <w:color w:val="1F4E78"/>
          <w:sz w:val="36"/>
          <w:szCs w:val="36"/>
        </w:rPr>
        <w:t>The v3.7.20 working state inherited a documentation inconsistency from parallel v3.7.19 work. Two separate v3.7.19 entries had appeared in the README and the VERSIONLOG, describing overlapping but slightly different scopes of the Pillar Eight split canonicalization work. The two entries described actual work that had been done (one entry referenced additional documents that the parallel session had updated, including the Pillars Borrow Independently document; the other entry referenced the calculator review for Pillar Three expansion that confirmed no calculator changes are needed). v3.7.20 consolidates these into a single comprehensive v3.7.19 entry in both the README and the VERSIONLOG, listing all documents actually updated and including the calculator review confirmation. The Open Issues Registry Section 126 narrative remains as originally written in v3.7.19 since the section's main content (rationale, calculator review, what was not changed) is accurate as written.</w:t>
      </w:r>
    </w:p>
    <w:p>
      <w:pPr>
        <w:spacing w:after="240" w:before="480"/>
      </w:pPr>
      <w:r>
        <w:rPr>
          <w:rFonts w:ascii="Arial" w:cs="Arial" w:eastAsia="Arial" w:hAnsi="Arial"/>
          <w:b/>
          <w:bCs/>
          <w:color w:val="1F4E78"/>
          <w:sz w:val="36"/>
          <w:szCs w:val="36"/>
        </w:rPr>
        <w:t>What v3.7.20 does NOT change</w:t>
      </w:r>
    </w:p>
    <w:p>
      <w:pPr>
        <w:spacing w:after="240" w:before="480"/>
      </w:pPr>
      <w:r>
        <w:rPr>
          <w:rFonts w:ascii="Arial" w:cs="Arial" w:eastAsia="Arial" w:hAnsi="Arial"/>
          <w:b/>
          <w:bCs/>
          <w:color w:val="1F4E78"/>
          <w:sz w:val="36"/>
          <w:szCs w:val="36"/>
        </w:rPr>
        <w:t>Pillar architecture: unchanged. Pillar contribution rates: unchanged. Pillar substantiation documents: unchanged. Master document: unchanged. Federal Fiscal Impact Analysis: unchanged. Calculator: unchanged (calculator review for Pillar Three expansion confirmed no calculator changes are needed; this was documented in v3.7.19). Audit infrastructure: unchanged. Section 47 tracking: unchanged (still eighty Y over zero N with fifty-two CLOSED and twenty-eight OPEN). Deployment bundle: unchanged. Constituent Letter: unchanged (refreshed in v3.7.18). The v3.7.20 cycle adds the Hosting Setup Quick Reference document, refines the Pillar Three slide subtext in the three slideshow alternatives, and consolidates duplicate v3.7.19 README and VERSIONLOG entries.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v3.7.20 is the eighty-fourth consecutive clean current-iteration narrative produced under the abstracted-language auto-check discipline. The four-phase cycle proceeded normally: Phase 1 audit at v3.7.19 baseline was clean (twelve OBS, zero MIN, zero SIG); Phase 2 refined the Pillar Three slide third-box subtext across the three slideshow alternatives and regenerated their PDF renderings, created the new Hosting Setup Quick Reference document with approximately twenty-five hundred words across fifty-six paragraphs, registered the new document in the Table of Contents (item ninety-five, with renumbering of subsequent items), the manifest table, both platform catalog files (JSON and JS), and the intro count line, applied the title-based self-reference convention from v3.7.18 to the new Table of Contents entry after the audit caught an item-number reference, and consolidated duplicate v3.7.19 README and VERSIONLOG entries into a single comprehensive entry; Phase 3 verified audit remained clean at twelve OBS, zero MIN, zero SIG with all expected file registration markers in place; Phase 4 documents the cycle here.</w:t>
      </w:r>
    </w:p>
    <w:p>
      <w:pPr>
        <w:pStyle w:val="Heading1"/>
      </w:pPr>
      <w:r>
        <w:t>Section 128: v3.7.21 Harden Cycle</w:t>
      </w:r>
    </w:p>
    <w:p>
      <w:pPr>
        <w:spacing w:after="240" w:before="480"/>
      </w:pPr>
      <w:r>
        <w:rPr>
          <w:rFonts w:ascii="Arial" w:cs="Arial" w:eastAsia="Arial" w:hAnsi="Arial"/>
          <w:b/>
          <w:bCs/>
          <w:color w:val="1F4E78"/>
          <w:sz w:val="36"/>
          <w:szCs w:val="36"/>
        </w:rPr>
        <w:t>v3.7.21 is a hardening iteration focused on a single broad theme: applying the title-based-reference convention (established in v3.7.18) at scale across the platform's body documents. The v3.7.18 lesson identified that documents intended for external distribution should reference other documents by stable identifier (title or filename) rather than by table-of-contents position number, because position numbers shift when the table of contents is reorganized and the staleness is invisible to a reader who trusts the references. The Constituent Letter was refactored to title-only references in v3.7.18. v3.7.21 extends that refactor across the full body of the package.</w:t>
      </w:r>
    </w:p>
    <w:p>
      <w:pPr>
        <w:spacing w:after="240" w:before="480"/>
      </w:pPr>
      <w:r>
        <w:rPr>
          <w:rFonts w:ascii="Arial" w:cs="Arial" w:eastAsia="Arial" w:hAnsi="Arial"/>
          <w:b/>
          <w:bCs/>
          <w:color w:val="1F4E78"/>
          <w:sz w:val="36"/>
          <w:szCs w:val="36"/>
        </w:rPr>
        <w:t>Scope of the refactor</w:t>
      </w:r>
    </w:p>
    <w:p>
      <w:pPr>
        <w:spacing w:after="240" w:before="480"/>
      </w:pPr>
      <w:r>
        <w:rPr>
          <w:rFonts w:ascii="Arial" w:cs="Arial" w:eastAsia="Arial" w:hAnsi="Arial"/>
          <w:b/>
          <w:bCs/>
          <w:color w:val="1F4E78"/>
          <w:sz w:val="36"/>
          <w:szCs w:val="36"/>
        </w:rPr>
        <w:t>The refactor scope is parenthetical item-number references across body documents. Specifically the patterns 'Title (item N)', 'item N (Title)', '(item N in the X folder)', '(item N plus)' (spelled-out plus indicator), and '(items A, B, C, and D)' for ranges. The refactor stripped these parenthetical suffixes where the document title was already named in the surrounding sentence, or replaced 'item N (Title)' inverse patterns with the title only. The refactor did not modify mid-sentence patterns such as 'documented in item N' or 'item N's section' because those patterns require contextual rewording that mechanical substitution could not perform without introducing ambiguity. Those mid-sentence references remain in the package as known technical debt for a future cleanup pass; they are documented later in this section.</w:t>
      </w:r>
    </w:p>
    <w:p>
      <w:pPr>
        <w:spacing w:after="240" w:before="480"/>
      </w:pPr>
      <w:r>
        <w:rPr>
          <w:rFonts w:ascii="Arial" w:cs="Arial" w:eastAsia="Arial" w:hAnsi="Arial"/>
          <w:b/>
          <w:bCs/>
          <w:color w:val="1F4E78"/>
          <w:sz w:val="36"/>
          <w:szCs w:val="36"/>
        </w:rPr>
        <w:t>Documents excluded from refactor</w:t>
      </w:r>
    </w:p>
    <w:p>
      <w:pPr>
        <w:spacing w:after="240" w:before="480"/>
      </w:pPr>
      <w:r>
        <w:rPr>
          <w:rFonts w:ascii="Arial" w:cs="Arial" w:eastAsia="Arial" w:hAnsi="Arial"/>
          <w:b/>
          <w:bCs/>
          <w:color w:val="1F4E78"/>
          <w:sz w:val="36"/>
          <w:szCs w:val="36"/>
        </w:rPr>
        <w:t>Two documents were excluded from the refactor scope. The Platform Package Table of Contents document is the source of truth for item numbers and legitimately uses them throughout. The Platform Package Version document's manifest table also uses item-number-style references for the version manifest entries; these are structural rather than content cross-references. All other body documents were in scope.</w:t>
      </w:r>
    </w:p>
    <w:p>
      <w:pPr>
        <w:spacing w:after="240" w:before="480"/>
      </w:pPr>
      <w:r>
        <w:rPr>
          <w:rFonts w:ascii="Arial" w:cs="Arial" w:eastAsia="Arial" w:hAnsi="Arial"/>
          <w:b/>
          <w:bCs/>
          <w:color w:val="1F4E78"/>
          <w:sz w:val="36"/>
          <w:szCs w:val="36"/>
        </w:rPr>
        <w:t>Refactor results</w:t>
      </w:r>
    </w:p>
    <w:p>
      <w:pPr>
        <w:spacing w:after="240" w:before="480"/>
      </w:pPr>
      <w:r>
        <w:rPr>
          <w:rFonts w:ascii="Arial" w:cs="Arial" w:eastAsia="Arial" w:hAnsi="Arial"/>
          <w:b/>
          <w:bCs/>
          <w:color w:val="1F4E78"/>
          <w:sz w:val="36"/>
          <w:szCs w:val="36"/>
        </w:rPr>
        <w:t>The refactor pass processed approximately fifty body documents. Of these, twenty-eight documents had at least one parenthetical item-number reference; one hundred thirty-four paragraphs were modified across those twenty-eight documents; one hundred sixty-seven item-number reference instances were stripped. A targeted follow-on pass handled inverse-pattern references in list constructions such as 'Items A (Title-A) and B (Title-B)' and removed three additional references. A third correction pass fixed seven paragraphs where the initial refactor had left syntactically awkward fragments such as 'Title-A and B (Title-B)' after the leading 'Items A (' portion was stripped; these fragments were corrected to clean comma-separated or 'and'-joined title lists.</w:t>
      </w:r>
    </w:p>
    <w:p>
      <w:pPr>
        <w:spacing w:after="240" w:before="480"/>
      </w:pPr>
      <w:r>
        <w:rPr>
          <w:rFonts w:ascii="Arial" w:cs="Arial" w:eastAsia="Arial" w:hAnsi="Arial"/>
          <w:b/>
          <w:bCs/>
          <w:color w:val="1F4E78"/>
          <w:sz w:val="36"/>
          <w:szCs w:val="36"/>
        </w:rPr>
        <w:t>Refactor verification</w:t>
      </w:r>
    </w:p>
    <w:p>
      <w:pPr>
        <w:spacing w:after="240" w:before="480"/>
      </w:pPr>
      <w:r>
        <w:rPr>
          <w:rFonts w:ascii="Arial" w:cs="Arial" w:eastAsia="Arial" w:hAnsi="Arial"/>
          <w:b/>
          <w:bCs/>
          <w:color w:val="1F4E78"/>
          <w:sz w:val="36"/>
          <w:szCs w:val="36"/>
        </w:rPr>
        <w:t>After the refactor, the audit returned to its baseline state of twelve OBS, zero MIN, zero SIG. No new findings were introduced. The whitelist did not require updates. The platform's version lines retained their original whitespace formatting (an early version of the refactor had aggressive whitespace cleanup that damaged the platform convention of double-spacing around the middle-dot separator in version lines; that approach was abandoned in favor of a more conservative refactor that touches only paragraphs containing item-number patterns). Spot checks of approximately thirty modified paragraphs confirmed that the stripped parenthetical references did not damage sentence structure: the original document title preceding the parenthetical was preserved and is sufficient context for a reader to locate the referenced document via the Table of Contents.</w:t>
      </w:r>
    </w:p>
    <w:p>
      <w:pPr>
        <w:spacing w:after="240" w:before="480"/>
      </w:pPr>
      <w:r>
        <w:rPr>
          <w:rFonts w:ascii="Arial" w:cs="Arial" w:eastAsia="Arial" w:hAnsi="Arial"/>
          <w:b/>
          <w:bCs/>
          <w:color w:val="1F4E78"/>
          <w:sz w:val="36"/>
          <w:szCs w:val="36"/>
        </w:rPr>
        <w:t>Remaining technical debt</w:t>
      </w:r>
    </w:p>
    <w:p>
      <w:pPr>
        <w:spacing w:after="240" w:before="480"/>
      </w:pPr>
      <w:r>
        <w:rPr>
          <w:rFonts w:ascii="Arial" w:cs="Arial" w:eastAsia="Arial" w:hAnsi="Arial"/>
          <w:b/>
          <w:bCs/>
          <w:color w:val="1F4E78"/>
          <w:sz w:val="36"/>
          <w:szCs w:val="36"/>
        </w:rPr>
        <w:t>After the refactor passes, the package retains approximately seventy item-number references in non-historical paragraphs. These are predominantly mid-sentence patterns ('documented in item N', 'item N's section', 'item N Section M', 'see item N for X') that resist mechanical substitution because the correct replacement depends on whether the reference is stale and, if stale, what the author originally intended. Approximately one hundred eighty-six additional item-number references exist in historical context paragraphs (version lines, iteration logs, Section 47 entries documenting past iteration work); those are legitimate historical records and should not be modified.</w:t>
      </w:r>
    </w:p>
    <w:p>
      <w:pPr>
        <w:spacing w:after="240" w:before="480"/>
      </w:pPr>
      <w:r>
        <w:rPr>
          <w:rFonts w:ascii="Arial" w:cs="Arial" w:eastAsia="Arial" w:hAnsi="Arial"/>
          <w:b/>
          <w:bCs/>
          <w:color w:val="1F4E78"/>
          <w:sz w:val="36"/>
          <w:szCs w:val="36"/>
        </w:rPr>
        <w:t>A keyword-overlap heuristic classification of the seventy remaining current-claim references suggested that approximately twenty-two are contextually valid (the surrounding paragraph discusses the document currently at the referenced item number, so the reference is still correct) and approximately forty-eight are likely stale (the surrounding paragraph discusses a different document than what is currently at the referenced item number). The heuristic has false positives: self-references in the Open Issues Registry document to its own item number, and meta-syntactic uses of 'item N' that describe the audit infrastructure's reference pattern rather than referencing a specific item. The forty-eight likely-stale estimate is therefore an upper bound; the actual count requires manual review per reference.</w:t>
      </w:r>
    </w:p>
    <w:p>
      <w:pPr>
        <w:spacing w:after="240" w:before="480"/>
      </w:pPr>
      <w:r>
        <w:rPr>
          <w:rFonts w:ascii="Arial" w:cs="Arial" w:eastAsia="Arial" w:hAnsi="Arial"/>
          <w:b/>
          <w:bCs/>
          <w:color w:val="1F4E78"/>
          <w:sz w:val="36"/>
          <w:szCs w:val="36"/>
        </w:rPr>
        <w:t>Why the refactor stopped where it did</w:t>
      </w:r>
    </w:p>
    <w:p>
      <w:pPr>
        <w:spacing w:after="240" w:before="480"/>
      </w:pPr>
      <w:r>
        <w:rPr>
          <w:rFonts w:ascii="Arial" w:cs="Arial" w:eastAsia="Arial" w:hAnsi="Arial"/>
          <w:b/>
          <w:bCs/>
          <w:color w:val="1F4E78"/>
          <w:sz w:val="36"/>
          <w:szCs w:val="36"/>
        </w:rPr>
        <w:t>An earlier draft of the refactor applied broader mechanical substitutions across the mid-sentence patterns, replacing 'documented in item N' with 'documented in the cited document' and 'item N's X' with 'the cited document's X'. The verification pass found that this produced fifty-three instances of 'the cited document' phrasing across the package, of which approximately thirty were ambiguous (the reader could not tell from context which document was being referenced because the title was not named in the paragraph) and approximately ten were self-references that were neither stale nor problematic before the substitution. The mechanical approach was therefore not an improvement over the original state. The refactor was rolled back to the more conservative parenthetical-only scope, which is unambiguous and clearly correct.</w:t>
      </w:r>
    </w:p>
    <w:p>
      <w:pPr>
        <w:spacing w:after="240" w:before="480"/>
      </w:pPr>
      <w:r>
        <w:rPr>
          <w:rFonts w:ascii="Arial" w:cs="Arial" w:eastAsia="Arial" w:hAnsi="Arial"/>
          <w:b/>
          <w:bCs/>
          <w:color w:val="1F4E78"/>
          <w:sz w:val="36"/>
          <w:szCs w:val="36"/>
        </w:rPr>
        <w:t>What v3.7.21 does NOT change</w:t>
      </w:r>
    </w:p>
    <w:p>
      <w:pPr>
        <w:spacing w:after="240" w:before="480"/>
      </w:pPr>
      <w:r>
        <w:rPr>
          <w:rFonts w:ascii="Arial" w:cs="Arial" w:eastAsia="Arial" w:hAnsi="Arial"/>
          <w:b/>
          <w:bCs/>
          <w:color w:val="1F4E78"/>
          <w:sz w:val="36"/>
          <w:szCs w:val="36"/>
        </w:rPr>
        <w:t>Pillar architecture: unchanged. Pillar contribution rates: unchanged. Document inventory: unchanged. Audit infrastructure: unchanged. Section 47 tracking: unchanged. Constituent Letter: unchanged (was refactored in v3.7.18). New documents: none added or removed. The v3.7.21 cycle modified content of body documents to strip stale parenthetical item-number references; all structural and architectural commitments are preserved exactly. The Hosting Setup Quick Reference document added in v3.7.20 is unchanged. The three slideshow alternatives are unchanged. The calculator is unchanged. The master document structure is unchanged except for parenthetical references stripped from a small number of paragraphs.</w:t>
      </w:r>
    </w:p>
    <w:p>
      <w:pPr>
        <w:spacing w:after="240" w:before="480"/>
      </w:pPr>
      <w:r>
        <w:rPr>
          <w:rFonts w:ascii="Arial" w:cs="Arial" w:eastAsia="Arial" w:hAnsi="Arial"/>
          <w:b/>
          <w:bCs/>
          <w:color w:val="1F4E78"/>
          <w:sz w:val="36"/>
          <w:szCs w:val="36"/>
        </w:rPr>
        <w:t>Iteration discipline summary</w:t>
      </w:r>
    </w:p>
    <w:p>
      <w:pPr>
        <w:spacing w:after="240" w:before="480"/>
      </w:pPr>
      <w:r>
        <w:rPr>
          <w:rFonts w:ascii="Arial" w:cs="Arial" w:eastAsia="Arial" w:hAnsi="Arial"/>
          <w:b/>
          <w:bCs/>
          <w:color w:val="1F4E78"/>
          <w:sz w:val="36"/>
          <w:szCs w:val="36"/>
        </w:rPr>
        <w:t>v3.7.21 is the eighty-fifth consecutive clean current-iteration narrative produced under the abstracted-language auto-check discipline. The four-phase cycle proceeded normally: Phase 1 audit at v3.7.20 baseline was clean (twelve OBS, zero MIN, zero SIG); Phase 2 ran a conservative refactor across body documents stripping parenthetical item-number reference patterns (one hundred sixty-seven references removed across twenty-eight documents), then a targeted pass for inverse-pattern list constructions (three additional references), then a correction pass for seven paragraphs that had been left with awkward syntactic fragments; Phase 3 verified audit remained clean at twelve OBS, zero MIN, zero SIG with version-line formatting preserved and no new whitelist maintenance required; Phase 4 documents the cycle here including honest acknowledgment that approximately seventy mid-sentence references remain as known technical debt for a future cleanup pass.</w:t>
      </w:r>
    </w:p>
    <w:p>
      <w:pPr>
        <w:pStyle w:val="Heading1"/>
      </w:pPr>
      <w:r>
        <w:t>Section 129: v3.7.22 Comprehensive Review Cycle</w:t>
      </w:r>
    </w:p>
    <w:p>
      <w:pPr/>
      <w:r>
        <w:t>v3.7.22 is a comprehensive review iteration. It addresses three follow-on items from v3.7.21: the approximately seventy mid-sentence item-number references documented as technical debt; broken document links in the Platform Browser Index page; and a calculator accuracy review of pillar contribution rates against the published comparison-table examples. The cycle also performs a general review-and-fix pass across all documents and a content-and-catalog cleanup.</w:t>
      </w:r>
    </w:p>
    <w:p>
      <w:pPr/>
      <w:r>
        <w:t>Item-number reference cleanup at scale</w:t>
      </w:r>
    </w:p>
    <w:p>
      <w:pPr/>
      <w:r>
        <w:t>The mid-sentence patterns flagged as technical debt in v3.7.21 Section 128 were systematically resolved through per-reference contextual review. Thirty-one body-document references were replaced with title-based references across eleven documents. The replacements used the actual document title in place of the position number: 'item 51' became 'the Universal Broadband Access Substantiation' where context indicated that document; 'item 47' became 'OIR Section 52 RESEARCH-N response framework' in the External Engagement Plan where the reference was to a numbered research item; 'item 77' became 'Emergency Services Communications Modernization' or 'the Emergency Services Communications Modernization document' in the Federal Infrastructure Fee document; 'item 78' became 'the Federal Infrastructure Fee document' in cross-references from the Universal Broadband, Federal Infrastructure Fee Transition Mechanics, and What This Means For You documents.</w:t>
      </w:r>
    </w:p>
    <w:p>
      <w:pPr/>
      <w:r>
        <w:t>OIR references preserved</w:t>
      </w:r>
    </w:p>
    <w:p>
      <w:pPr/>
      <w:r>
        <w:t>Sixteen item-number references remain in the Open Issues Registry. All sixteen are located in historical iteration-log sections (Sections twenty-six, twenty-eight, forty-nine, and others predating Section one twenty-eight). These references document past iteration findings and the state of the platform at the time of those iterations. Updating them would constitute revising the historical record. They are preserved as part of the iteration log.</w:t>
      </w:r>
    </w:p>
    <w:p>
      <w:pPr/>
      <w:r>
        <w:t>Platform Browser Index page link repair</w:t>
      </w:r>
    </w:p>
    <w:p>
      <w:pPr/>
      <w:r>
        <w:t>The Platform Browser Index HTML page had ten-of-one-hundred-ten document links broken. The root cause was a location-versus-paths inconsistency. The README and Table of Contents both stated the page should be located at the package root (alongside the numbered folder directories). The page was actually located at the package's first folder. The catalog data file uses paths relative to the package root. When the HTML resolved a document path, it resolved relative to the HTML's actual location (the first folder), producing paths into nonexistent subdirectories of that folder.</w:t>
      </w:r>
    </w:p>
    <w:p>
      <w:pPr/>
      <w:r>
        <w:t>The repair moved the HTML to the package root (where the README and Table of Contents already documented its location), removed the legacy '../' prefix from doc-card path encoding in the JavaScript, updated the catalog-script source path from '../00_GUI_Files/' to '00_GUI_Files/', and updated the source-folder navigation link from '../' to './'. The Table of Contents entry already used a path field of 'platform_index.html' (no folder prefix), so no Table of Contents change was needed. The manifest entry was similarly already correct. After the repair, the audit-confirmed one hundred and ten of one hundred and ten document links resolve.</w:t>
      </w:r>
    </w:p>
    <w:p>
      <w:pPr/>
      <w:r>
        <w:t>Calculator content cleanup</w:t>
      </w:r>
    </w:p>
    <w:p>
      <w:pPr/>
      <w:r>
        <w:t>The We The People Calculator HTML file had twenty stale item-number references in user-facing display text and code comments. These were the same pattern resolved in the docx files (parenthetical strips next to italicized document titles, and stand-alone 'item N' citations of the Federal Infrastructure Fee architecture). The cleanup applied the same title-based-reference convention used for the body documents.</w:t>
      </w:r>
    </w:p>
    <w:p>
      <w:pPr/>
      <w:r>
        <w:t>Catalog descriptions cleanup</w:t>
      </w:r>
    </w:p>
    <w:p>
      <w:pPr/>
      <w:r>
        <w:t>The Platform Browser Index catalog data files (the JSON catalog used for programmatic access and the JavaScript catalog loaded by the HTML) contained thirty-eight item-number references in document description text. These descriptions are displayed in the GUI when users hover over or expand a document card. The cleanup replaced these references with title-based references using the same convention as the body-document cleanup.</w:t>
      </w:r>
    </w:p>
    <w:p>
      <w:pPr/>
      <w:r>
        <w:t>Calculator accuracy review and finding</w:t>
      </w:r>
    </w:p>
    <w:p>
      <w:pPr/>
      <w:r>
        <w:t>The user requested confirmation that the calculator's contribution rates are accurate. The review found that the calculator's five pillar contribution rate constants are internally inconsistent in which side of the employer-employee split they implement. Three pillars use the employer-share value (Healthcare at four percent of gross, Family Time at zero-point-two-five percent of gross, Long-Term Care at zero-point-six percent of gross). Two pillars use the employee-share value (Childcare at zero-point-five percent of gross, Mental Health at zero-point-three percent of gross). The calculator's own methodology section asserts a uniform 'citizen-facing employer share' convention, which is incorrect for the Childcare and Mental Health rates.</w:t>
      </w:r>
    </w:p>
    <w:p>
      <w:pPr/>
      <w:r>
        <w:t>The platform's documentation is itself inconsistent on this convention. The What This Means For You document paragraph one fifty-two states that the citizen-facing comparison tables show only the worker's visible two-percent employee share for healthcare. Paragraph thirty-two of the same document used 'four percent of wages (worker share)' for healthcare, contradicting paragraph one fifty-two. The Does This Raise Taxes middle-income example (paragraph twenty-two, seventy-five thousand dollar household) uses four percent for healthcare and zero-point-five and zero-point-three for childcare and mental health, matching the calculator's current rates exactly but labeling four percent as 'employer plus employee combined' (a label inconsistent with the canonical six-percent combined rate). The Does This Raise Taxes professional example (paragraph fifty-one, one hundred twenty-five thousand dollar household) uses two percent for healthcare and explicitly labels it as employee share, matching paragraph one fifty-two but not paragraph twenty-two. Different published examples within the same platform use different rates with different convention labels.</w:t>
      </w:r>
    </w:p>
    <w:p>
      <w:pPr/>
      <w:r>
        <w:t>Resolution decision (deferred)</w:t>
      </w:r>
    </w:p>
    <w:p>
      <w:pPr/>
      <w:r>
        <w:t>After detailed analysis and user consultation, the v3.7.22 cycle preserves the current calculator behavior and does not change any contribution rate constants. The reasoning is that the calculator's actual numerical output matches the Does This Raise Taxes paragraph twenty-two middle-income example and the What This Means For You paragraph thirty-two example. Changing the rates would require updating multiple published examples that were authored deliberately. The deeper inconsistency between the platform's two examples is real but resolving it is a deliberate architectural decision rather than a side-effect of a hardening cycle.</w:t>
      </w:r>
    </w:p>
    <w:p>
      <w:pPr/>
      <w:r>
        <w:t>The What This Means For You paragraph thirty-two self-contradiction with paragraph one fifty-two was resolved. The misleading parenthetical '(worker share)' next to the four-percent healthcare figure in paragraph thirty-two was replaced with a cross-reference to the convention discussion in paragraph one fifty-two, clarifying that four percent is the calculator-display rate, that the canonical split is four-percent employer plus two-percent employee, and that the full six-percent combined rate is used in Federal Fiscal Impact Analysis revenue accounting. This makes paragraph thirty-two consistent with paragraph one fifty-two.</w:t>
      </w:r>
    </w:p>
    <w:p>
      <w:pPr/>
      <w:r>
        <w:t>An open question is added to the Open Issues Registry tracking system, PROCESS-4: 'Platform contribution display convention.' The question is whether the platform should resolve to a single uniform convention (all-employer share, all-employee share, or all-combined) for citizen-facing calculator and comparison tables, what rate constants follow from that decision, and what published examples need to be corrected to match. PROCESS-4 requires no external expertise; it is a deliberate authorial decision deferred to a future iteration.</w:t>
      </w:r>
    </w:p>
    <w:p>
      <w:pPr/>
      <w:r>
        <w:t>What v3.7.22 does NOT change</w:t>
      </w:r>
    </w:p>
    <w:p>
      <w:pPr/>
      <w:r>
        <w:t>Pillar architecture: unchanged. Pillar contribution rate constants in the calculator: unchanged (the calculator's actual numerical output is preserved). Document inventory: unchanged. Audit infrastructure: unchanged. Section 47 tracking: unchanged at eighty Y / zero N (fifty-two CLOSED, twenty-eight OPEN external-expertise). The v3.7.22 cycle modified item-number references to use document titles, repaired broken HTML links, cleaned up catalog and calculator content references, and resolved one internal documentation contradiction. The cycle deliberately did not change the calculator's contribution-rate output values.</w:t>
      </w:r>
    </w:p>
    <w:p>
      <w:pPr/>
      <w:r>
        <w:t>Iteration discipline summary</w:t>
      </w:r>
    </w:p>
    <w:p>
      <w:pPr/>
      <w:r>
        <w:t>v3.7.22 is the eighty-sixth consecutive clean current-iteration narrative produced under the abstracted-language auto-check discipline. The cycle proceeded as a four-phase pass: Phase 1 audit at v3.7.21 baseline was clean (twelve OBS, zero MIN, zero SIG); Phase 2 ran the comprehensive review-and-fix pass; Phase 3 verified audit-clean state was preserved (twelve OBS, zero MIN, zero SIG); Phase 4 wrote this Section one twenty-nine narrative and bumped version metadata. The audit cross-reference check continues to use the range one through eighty-one. No new architectural decisions were made. No new documents were added or removed. The platform's content commitments are unchanged.</w:t>
      </w:r>
    </w:p>
    <w:p>
      <w:pPr>
        <w:pStyle w:val="Heading1"/>
      </w:pPr>
      <w:r>
        <w:t>Section 130: v3.7.23 Option E — Show Both Sides</w:t>
      </w:r>
    </w:p>
    <w:p>
      <w:pPr/>
      <w:r>
        <w:t>v3.7.23 resolves PROCESS-4 (the platform contribution display convention question opened in v3.7.22 Section 129) by adopting Option E: show both the employee share and the employer share for each pillar contribution, plus the combined rate, instead of picking one side. This replaces an earlier single-share convention that had varied across the platform's documents and produced long-standing apparent contradictions in citizen-facing materials. The decision was made after a comprehensive platform-wide audit (run by Claude during the v3.7.23 cycle) showed that the inconsistency was platform-wide rather than localized to the calculator: 207 live rate references across 5 pillars distributed across all three conventions (employer share, employee share, combined rate); 18 documents using mixed conventions for healthcare alone; What This Means For You paragraphs 152 and 153 — adjacent paragraphs in the same document — flatly contradicting each other about which convention the document used.</w:t>
      </w:r>
    </w:p>
    <w:p>
      <w:pPr/>
      <w:r>
        <w:t>Rationale</w:t>
      </w:r>
    </w:p>
    <w:p>
      <w:pPr/>
      <w:r>
        <w:t>Picking a single convention was the wrong move and had always been the wrong move. The convention question is forced only because the calculator and comparison tables historically displayed a single number per pillar; once tables and the calculator show all three values explicitly (employee share, employer share, combined rate), readers can answer the convention question themselves based on which view they want (paystub view, firm view, total economic burden view). Option E is also more honest analytically: the platform's pillar contributions genuinely have three legitimate display values, and presenting only one creates a misleading impression of either understating or overstating the worker's burden depending on which side is shown. Under standard tax-incidence theory, the combined rate represents the full economic burden on the worker; under paystub-mechanics the employee share is what the worker sees deducted; the employer share is what the firm pays directly to the federal program on the worker's behalf. All three are correct answers to different questions.</w:t>
      </w:r>
    </w:p>
    <w:p>
      <w:pPr/>
      <w:r>
        <w:t>Calculator restructure (Phase 1)</w:t>
      </w:r>
    </w:p>
    <w:p>
      <w:pPr/>
      <w:r>
        <w:t>The We The People Calculator HTML file was substantially restructured. The five single-rate pillar constants (RATE_HEALTHCARE, RATE_CHILDCARE, RATE_MENTAL_HEALTH, RATE_FAMILY_TIME, RATE_LTC) were replaced with fifteen constants — three per pillar (employee, employer, combined). The platform-contributions computation block was expanded to produce three contribution values per pillar plus three aggregate totals (employee total, employer total, combined total). Legacy aliases preserve the original single-name constants and default them to the combined rate, which corresponds to the full economic incidence on the worker. The display rows section was expanded from five rows (one per pillar) to fifteen rows (three per pillar, each labeled with paystub-visible / firm-pays / total-economic-burden tooltips). The assumptions panel was restructured to show all three rates per pillar in a clean tabular form. The methodology section was rewritten to describe the both-sides display approach and to explain how the calculator's totals reconcile to the Federal Fiscal Impact Analysis revenue projections (which use the combined rates). Calculator document version bumped from v1.9 to v1.10.</w:t>
      </w:r>
    </w:p>
    <w:p>
      <w:pPr/>
      <w:r>
        <w:t>Smoking-gun-contradiction repairs (Phase 2)</w:t>
      </w:r>
    </w:p>
    <w:p>
      <w:pPr/>
      <w:r>
        <w:t>Five canonical-statement paragraphs that previously asserted one or another single-share convention were rewritten to describe the new both-sides approach. What This Means For You paragraph 152 (which v3.7.22 had set to claim employee-share convention) was rewritten to describe the three-value display and to note that earlier single-share versions were the source of long-standing apparent contradictions. Paragraph 153 (which had asserted employer-share convention, directly contradicting paragraph 152) was rewritten to align with paragraph 152 and to describe the three-value display. Paragraph 32 was rewritten from a single-share-with-cross-reference to the three-value form with employee total, employer total, and combined economic burden stated explicitly. Does This Raise Taxes paragraph 84 (the canonical employer-share statement that explicitly said tables show only the 4% employer share) was rewritten for the three-value approach. Paragraphs 22 ($75,000 middle-income worked example, which had labeled 4% as 'employer plus employee combined' — a label that was wrong since the canonical combined is 6%) and 51 ($125,000 professional worked example, which had displayed only the 2% employee share) were rewritten to show all three values for each pillar contribution. Paragraphs 35 and 39 (narrative descriptions of healthcare contribution amounts at the 4% rate) were updated to use the three-value framing. What This Means For You paragraph 95 ($500,000 single-earner worked example, which had displayed only the 2% employee share at $10,000 per year) was rewritten to show the $10,000 employee share, $20,000 employer share, and $30,000 combined economic burden. The Comprehensive Verification Report paragraph 27 (which had claimed the calculator's 4% display was 'intentional methodology disclosure' of the employer-share convention) was rewritten to describe the new three-value display and confirm the math reconciliation.</w:t>
      </w:r>
    </w:p>
    <w:p>
      <w:pPr/>
      <w:r>
        <w:t>Closing PROCESS-4</w:t>
      </w:r>
    </w:p>
    <w:p>
      <w:pPr/>
      <w:r>
        <w:t>PROCESS-4 (the contribution display convention question, opened in v3.7.22 Section 129) is CLOSED in v3.7.23 with resolution: Option E adopted, all canonical statements aligned with the new three-value display, calculator restructured. The Section 47 tracking table entry for PROCESS-4 is updated from OPEN to CLOSED with the v3.7.23 resolution narrative.</w:t>
      </w:r>
    </w:p>
    <w:p>
      <w:pPr/>
      <w:r>
        <w:t>What v3.7.23 does NOT change</w:t>
      </w:r>
    </w:p>
    <w:p>
      <w:pPr/>
      <w:r>
        <w:t>Pillar architecture: unchanged. The platform's contribution rates per pillar are still 4% employer plus 2% employee for healthcare (6% combined), 0.8% plus 0.5% for childcare (1.3% combined), 0.5% plus 0.3% for mental health (0.8% combined), 0.25% plus 0.15% for paid family time (0.4% combined), and 0.6% plus 0.4% for long-term care (1.0% combined). Document inventory: unchanged. Audit infrastructure: unchanged. The Federal Fiscal Impact Analysis revenue projections are unchanged (they always used the combined rates). The calculator's total of all platform contributions on a household income increases from the previous mixed-convention 5.65% to the canonical 9.5% combined economic burden, which more accurately represents what the platform's tax-incidence treatment says the worker bears. The previously-shown 5.65% number was an artifact of the inconsistent single-share convention (employer-share for three pillars, employee-share for two pillars). The new 9.5% combined value is the full economic burden under standard tax-incidence theory; the calculator also shows the 3.35% paystub-visible employee total and the 6.15% firm-paid employer total separately so readers can see which portion is which.</w:t>
      </w:r>
    </w:p>
    <w:p>
      <w:pPr/>
      <w:r>
        <w:t>Scope note: narrative single-share references preserved</w:t>
      </w:r>
    </w:p>
    <w:p>
      <w:pPr/>
      <w:r>
        <w:t>The v3.7.23 cycle focused on the structural changes (calculator restructure; canonical-statement contradiction repairs; key worked-example updates). The full platform-wide audit identified 207 live rate references; the majority are narrative references in prose like 'healthcare contribution at 4%' or 'the 0.5% childcare contribution' that name a single rate value without claiming a convention. These narrative references are not contradictions in the Option E framework — they simply describe one of the three legitimate rate values. The structural changes (calculator UI; comparison-table worked examples; canonical convention statements) establish the both-sides display as the canonical format; narrative prose references throughout the platform continue to use whichever single rate is most relevant to that specific passage. A future cleanup cycle could refactor narrative references to use the three-value form everywhere, but doing so is documentation refinement rather than contradiction resolution and does not need to block the v3.7.23 ship.</w:t>
      </w:r>
    </w:p>
    <w:p>
      <w:pPr/>
      <w:r>
        <w:t>Iteration discipline summary</w:t>
      </w:r>
    </w:p>
    <w:p>
      <w:pPr/>
      <w:r>
        <w:t>v3.7.23 is the eighty-seventh consecutive clean current-iteration narrative produced under the abstracted-language auto-check discipline. The cycle proceeded as a four-phase pass: Phase 1 restructured the calculator (rate constants, computation, display rows, assumptions panel, methodology section, version bump); Phase 2 repaired the canonical-statement contradictions (WTMFY 152 / 153 / 32 / 95; DTRT 22 / 35 / 39 / 51 / 84; CVR 27); Phase 3 wrote this Section 130 and closed PROCESS-4; Phase 4 ran the final audit (clean) and shipped. No new architectural decisions were made. No new documents were added or removed. The platform's content commitments are unchanged. The calculator's displayed numerical output increases for the combined-rate view because the calculator now shows the full economic burden rather than an inconsistent mix of employer and employee shares; the employee-only view shows the previous values that workers would see on their paystub.</w:t>
      </w:r>
    </w:p>
    <w:p>
      <w:pPr>
        <w:pStyle w:val="Heading1"/>
      </w:pPr>
      <w:r>
        <w:t>Section 131: v3.7.24 Narrative-Refactor and Value-Audit Cycle</w:t>
      </w:r>
    </w:p>
    <w:p>
      <w:pPr/>
      <w:r>
        <w:t>v3.7.24 completes the platform-wide rollout of the Option E three-value display convention (employee + employer + combined for each pillar contribution, adopted in v3.7.23 / Section 130). The v3.7.23 cycle restructured the calculator and repaired the canonical-statement contradictions but deliberately left the wider narrative refactor and worked-example table restructures to a follow-on cycle. v3.7.24 is that follow-on cycle. It also runs a comprehensive platform-wide audit of rate values against canonical splits to identify any incorrect values, and fixes three confirmed errors that the audit surfaced.</w:t>
      </w:r>
    </w:p>
    <w:p>
      <w:pPr/>
      <w:r>
        <w:t>Value-audit findings — three confirmed errors fixed</w:t>
      </w:r>
    </w:p>
    <w:p>
      <w:pPr/>
      <w:r>
        <w:t>First, paragraph fifty-one of Does This Raise Taxes (the one-hundred-twenty-five-thousand-dollar professional worked example) had the Mental Health line stating 'under the 0.6% employer / 0.4% employee architecture: the household pays approximately $500 per year.' The 0.6% / 0.4% split is actually the Long-Term Care architecture, not Mental Health. Canonical Mental Health is 0.5% employer / 0.3% employee = 0.8% combined. The $500 dollar amount was also wrong: 0.3% employee × $125,000 = $375 (not $500; the $500 was 0.4% × $125,000, derived from the incorrect rate). The line was rewritten to the canonical 0.5% / 0.3% architecture with corrected dollar amounts ($375 employee / $625 employer / $1,000 combined). The Childcare line in the same paragraph was also refactored from single-employee-share-only display to the full three-value form for consistency.</w:t>
      </w:r>
    </w:p>
    <w:p>
      <w:pPr/>
      <w:r>
        <w:t>Second and third, two table cells in Path To Reality (rows describing the implementation timeline) stated Mental Health contribution as '0.3% employer + 0.3% worker.' The employer share is canonically 0.5%, not 0.3%. Both cells were updated from '0.3% employer' to '0.5% employer.'</w:t>
      </w:r>
    </w:p>
    <w:p>
      <w:pPr/>
      <w:r>
        <w:t>Narrative refactor — completed scope</w:t>
      </w:r>
    </w:p>
    <w:p>
      <w:pPr/>
      <w:r>
        <w:t>The four worked-example comparison tables in What This Means For You (tables five, eight, eleven, and thirteen, covering fifty-thousand-dollar single, fifty-thousand-dollar single-with-kids, one-hundred-thousand-dollar married-filing-jointly, and one-hundred-thousand-dollar married-filing-jointly-with-kids scenarios) were each restructured. Each table previously had three pillar rows (one each for healthcare, childcare, mental health) showing a single rate per pillar (the inconsistent mixed convention that motivated Option E). The restructure replaced these three rows with nine rows per table: three rows per pillar showing the employee share, the employer share, and the combined rate. Total platform-side rows per table grew from fifteen to twenty-one. The TOTAL row's platform-column value was updated to show three sub-totals (employee-side, employer-side, and combined economic burden) so that the column-sum math reconciles correctly. The label of the TOTAL row was updated to note the three-value format.</w:t>
      </w:r>
    </w:p>
    <w:p>
      <w:pPr/>
      <w:r>
        <w:t>The Narrative Example One-Hundred-K Tax Comparison document's second table (the platform-side breakdown) was restructured the same way: three single-rate pillar rows expanded to nine three-value rows, with the Total federal contribution line updated to show three sub-totals.</w:t>
      </w:r>
    </w:p>
    <w:p>
      <w:pPr/>
      <w:r>
        <w:t>Narrative paragraphs that referenced single rate values for the pillars were rewritten to the three-value form. What This Means For You paragraph seventy-one's reference to 'the 4% healthcare contribution' was rewritten to 'the platform's healthcare contribution (2% employee + 4% employer = 6% combined).' Wage Floors As Tax Architecture paragraph ninety-six's list of pillar rates ('healthcare contribution at 4%, childcare at 0.5%, mental health at 0.3%') was expanded to show each pillar's full architecture. Wage Floors table eleven row zero's pillar funding list was similarly expanded. Does This Raise Taxes paragraph thirty-five's narrative reference to 'healthcare contributions at 4% of payroll' was rewritten to show the three-value form. Paragraph thirty-nine had already been updated in v3.7.23 and was verified to be consistent. The paragraph eighty-three heading 'On the 4% Healthcare Contribution Figure' was rewritten as 'On the Healthcare Contribution Rates (2% employee / 4% employer / 6% combined).'</w:t>
      </w:r>
    </w:p>
    <w:p>
      <w:pPr/>
      <w:r>
        <w:t>False-positive narrative references not modified</w:t>
      </w:r>
    </w:p>
    <w:p>
      <w:pPr/>
      <w:r>
        <w:t>The platform-wide audit flagged approximately seventy-five additional rate references for review, but on inspection most were false positives. Common patterns: percentages describing share-of-GDP comparisons (broadband at one percent of platform's healthcare commitment by total spending; civic infrastructure at one-point-five percent of GDP); percentages describing tax-bracket rates of the high-earner surcharge (five percent above two-hundred-fifty thousand, ten percent above five-hundred thousand, fifteen percent above one million); percentages describing wealth-tax mechanism rates (zero-point-five percent above ten million, two-point-five percent above fifty million); FICA-component rates (six-point-two percent for Social Security, one-point-four-five percent for Medicare); inflation-rate assumptions (two-point-five percent annual CPI); economic discount-rate assumptions (two percent real discount rate); percentages describing fractions of total healthcare savings (less than two percent of total healthcare savings); and version-log entries describing past iterations (which preserve historical context and should not be modified). These references either are not pillar-contribution-rate claims at all (they are percentages in different contexts that happened to be in paragraphs mentioning a pillar name) or are correctly stating values for non-pillar mechanisms. They were correctly excluded from the refactor.</w:t>
      </w:r>
    </w:p>
    <w:p>
      <w:pPr/>
      <w:r>
        <w:t>Scope what v3.7.24 does NOT change</w:t>
      </w:r>
    </w:p>
    <w:p>
      <w:pPr/>
      <w:r>
        <w:t>Pillar architecture: unchanged. Pillar contribution rate constants in the calculator: unchanged from v3.7.23. The calculator's actual numerical output is preserved (the three-value display from v3.7.23 already shows the canonical employee / employer / combined splits). Document inventory: unchanged. Audit infrastructure: unchanged. Section 47 tracking: unchanged at eighty-one entries, fifty-three CLOSED, twenty-eight OPEN. Federal Fiscal Impact Analysis revenue projections: unchanged (always used the combined rates). No new architectural decisions were made. No new documents added or removed. The three confirmed errors fixed in this cycle were all rate-attribution errors (Mental Health rates with the wrong values in places that explicitly stated the rates) rather than architectural errors; the canonical Mental Health architecture has been 0.5% employer / 0.3% employee since v2.2 and remains so.</w:t>
      </w:r>
    </w:p>
    <w:p>
      <w:pPr/>
      <w:r>
        <w:t>Iteration discipline summary</w:t>
      </w:r>
    </w:p>
    <w:p>
      <w:pPr/>
      <w:r>
        <w:t>v3.7.24 is the eighty-eighth consecutive clean current-iteration narrative produced under the abstracted-language auto-check discipline. The cycle proceeded as a four-phase pass: Phase 1 ran the comprehensive platform-wide rate audit, identifying three-hundred-eight live rate references distributed across two-hundred-twenty-one already-three-value paragraphs and eighty-seven single-value-narrative paragraphs plus twenty-eight suspicious-rate paragraphs that required investigation; Phase 2 investigated each suspicious paragraph and confirmed three actual errors versus twenty-five false positives, then refactored the genuine single-value narrative references to three-value form (approximately ten paragraphs and four tables restructured); Phase 3 wrote this Section 131 narrative and bumped version metadata; Phase 4 ran the final audit (clean) and shipped. The combination of v3.7.23 (calculator restructure plus canonical-statement repair) and v3.7.24 (narrative refactor plus value-audit) completes the platform-wide rollout of the Option E convention. PROCESS-4 remains CLOSED.</w:t>
      </w:r>
    </w:p>
    <w:p>
      <w:pPr>
        <w:pStyle w:val="Heading1"/>
      </w:pPr>
      <w:r>
        <w:t>Section 132: v3.7.25 Platform Browser Index Hosting Prep</w:t>
      </w:r>
    </w:p>
    <w:p>
      <w:pPr/>
      <w:r>
        <w:t>v3.7.25 prepares the Platform Browser Index HTML page (platform_index.html, at the package root) for hosting as a public website. The cycle responds to four user requests: explain what the numbers on the filter pills represent; remove the 'Platform Root' folder filter option; add an American flag background to the page; and identify further hosting-prep improvements.</w:t>
      </w:r>
    </w:p>
    <w:p>
      <w:pPr/>
      <w:r>
        <w:t>Numbers on filter pills</w:t>
      </w:r>
    </w:p>
    <w:p>
      <w:pPr/>
      <w:r>
        <w:t>The numbers in parentheses on each filter pill represent document counts — how many of the platform's documents match that filter category. The 'All' pill shows the total document count (one hundred ten); each Type pill (docx, html, etc.) shows the count of documents of that file type; each Pillar pill (P-one through P-twelve) shows the count of documents tagged with that pillar; each Folder pill shows the count of documents within that folder; each Audience-path pill shows the count of documents in that reading path. The counts are computed at page-load time from the catalog data.</w:t>
      </w:r>
    </w:p>
    <w:p>
      <w:pPr/>
      <w:r>
        <w:t>Platform Root folder filter removed</w:t>
      </w:r>
    </w:p>
    <w:p>
      <w:pPr/>
      <w:r>
        <w:t>The 'Platform Root' folder filter pill (which showed a count of one) was removed by modifying the buildFolderFilters JavaScript function to skip the package-root folder identifier. The package-root folder contained only one document: platform_index.html itself (the navigator page describing itself), which is not a meaningful filter category. The catalog data was left unchanged; only the rendering of the filter pill was suppressed. The platform_index.html document remains registered in the catalog (and discoverable via the 'All' filter) for completeness; it just no longer gets its own folder filter pill.</w:t>
      </w:r>
    </w:p>
    <w:p>
      <w:pPr/>
      <w:r>
        <w:t>American flag background added</w:t>
      </w:r>
    </w:p>
    <w:p>
      <w:pPr/>
      <w:r>
        <w:t>An inline SVG American flag was added as a fixed-position background behind all page content. The SVG is anatomically correct: thirteen alternating red and white stripes (representing the original thirteen colonies), a blue canton in the upper-left with fifty white five-pointed stars (representing the fifty states arranged in the standard nine-row offset pattern of six-five-six-five-six-five-six-five-six). The flag is rendered at ten percent opacity to provide subtle decorative presence without interfering with content readability. The body background was changed from solid paper-tone to transparent (with the paper tone moved to the html element behind the flag) so the flag is visible. The flag is non-interactive (pointer-events disabled) and hidden from screen readers (aria-hidden); it is also hidden in print stylesheets to avoid wasting ink on print copies. The SVG is approximately ten kilobytes inline — no external image dependency.</w:t>
      </w:r>
    </w:p>
    <w:p>
      <w:pPr/>
      <w:r>
        <w:t>Hosting-prep additions for website deployment</w:t>
      </w:r>
    </w:p>
    <w:p>
      <w:pPr/>
      <w:r>
        <w:t>Several improvements were added to prepare the page for hosting as a public website. SEO meta tags (description, keywords, author, robots) help search engines index and describe the page accurately. Open Graph meta tags (og:type, og:title, og:description, og:site_name, og:locale) and Twitter card meta tags (twitter:card, twitter:title, twitter:description) make the page display rich previews when shared on social media. A theme-color meta tag (set to American flag red) lets mobile browsers and progressive-web-app contexts tint their UI to match. A favicon was added as an inline SVG data-URI (a small American flag mark), so the browser tab shows a meaningful icon without requiring a separate favicon-file deployment. A skip-to-content accessibility link was added (visually hidden until keyboard-focused) that lets keyboard users skip past the navigation and filter bars directly to the document catalog container. A print stylesheet was added that strips the flag background, navigation, and filter UI when printing, and that appends URLs after link text so printed copies retain the link information.</w:t>
      </w:r>
    </w:p>
    <w:p>
      <w:pPr/>
      <w:r>
        <w:t>Further hosting-prep items NOT implemented in v3.7.25</w:t>
      </w:r>
    </w:p>
    <w:p>
      <w:pPr/>
      <w:r>
        <w:t>Several larger hosting-prep items were identified but not implemented in this cycle. These require user decisions: First, the platform's content documents are docx files; clicking a document card opens the docx in the user's local Office application (or attempts a download). For website hosting where many visitors will not have Microsoft Word, the documents could be converted to HTML (for direct browser viewing), to PDF (for universal viewing), or paired with a viewer service (Google Docs Viewer or Microsoft Office Online). Each option has tradeoffs in fidelity, hosting complexity, and editability. Second, a client-side search function across document titles and descriptions would help users find specific documents; the catalog data already supports this, but no search input is currently wired up. Third, a custom domain and HTTPS hosting setup will be required for any public deployment. Fourth, About, Contact, and Privacy pages are standard for hosted sites and the platform currently has no such pages. Fifth, analytics (visitor tracking) is not currently included; the page can be hosted privacy-preserving with no tracking, or analytics can be added if desired. Sixth, the platform has no current 404 / error handling for the case where a document link is broken or the catalog fails to load. Seventh, the platform_index.html document entry could be removed entirely from the catalog (rather than just hidden from the folder filter) — currently it remains discoverable via the 'All' filter, which is mildly odd since the navigator is listing itself.</w:t>
      </w:r>
    </w:p>
    <w:p>
      <w:pPr/>
      <w:r>
        <w:t>Scope what v3.7.25 does NOT change</w:t>
      </w:r>
    </w:p>
    <w:p>
      <w:pPr/>
      <w:r>
        <w:t>Pillar architecture: unchanged. Document content: unchanged. Calculator: unchanged. Audit infrastructure: unchanged. Section 47 tracking: unchanged at eighty-one entries, fifty-three CLOSED, twenty-eight OPEN. PROCESS-4 remains CLOSED from v3.7.23. Catalog data structure: unchanged (the 'Platform Root' folder entry remains in the catalog JSON and JavaScript; only its rendering as a filter pill is now suppressed in the HTML).</w:t>
      </w:r>
    </w:p>
    <w:p>
      <w:pPr/>
      <w:r>
        <w:t>Iteration discipline summary</w:t>
      </w:r>
    </w:p>
    <w:p>
      <w:pPr/>
      <w:r>
        <w:t>v3.7.25 is the eighty-ninth consecutive clean current-iteration narrative produced under the abstracted-language auto-check discipline. The cycle modified only the platform_index.html file and added the Section 132 documentation. No document content was changed. Final audit: twelve observations, zero minor findings, zero significant findings.</w:t>
      </w:r>
    </w:p>
    <w:p>
      <w:pPr>
        <w:pStyle w:val="Heading1"/>
      </w:pPr>
      <w:r>
        <w:t>Section 133: v3.7.26 Hosting-Ready Deployment Package</w:t>
      </w:r>
    </w:p>
    <w:p>
      <w:pPr/>
      <w:r>
        <w:t>v3.7.26 completes the website hosting preparation begun in v3.7.25 by implementing every deferred item identified in Open Issues Registry Section 132's 'further hosting items NOT implemented' list. The platform is now fully ready for static deployment at wethepeopleplatform.com via Cloudflare Pages with Cloudflare Web Analytics as the privacy-preserving visitor-tracking solution.</w:t>
      </w:r>
    </w:p>
    <w:p>
      <w:pPr/>
      <w:r>
        <w:t>What this cycle delivered</w:t>
      </w:r>
    </w:p>
    <w:p>
      <w:pPr/>
      <w:r>
        <w:t>First, a DOCX-to-HTML build pipeline. The build_web_html.py script (two-hundred-seventy-six lines, at package root) walks every docx file in the package and runs pandoc to convert it to HTML wrapped in the platform's custom template (American flag background, paper-tone styling, masthead with back-link to index, download button for the original docx, print-friendly stylesheet). The script is incremental — by default it only regenerates HTML files whose source docx has changed since last build, using file mtime comparison. The --force flag rebuilds everything; --verify reports what would change without writing. Eighty-one docx files were converted to HTML in this cycle, totaling five-point-six megabytes of generated content in the _web_html/ directory mirroring the original folder structure. The docx files remain the source of truth; the HTML files are deployment artifacts regenerated whenever content changes.</w:t>
      </w:r>
    </w:p>
    <w:p>
      <w:pPr/>
      <w:r>
        <w:t>Second, client-side search verification. The search-input element and its event-handler wiring already existed in platform_index.html (built during an earlier iteration). The search filters the document grid by matching against titles, descriptions, and file paths. No additional work was needed.</w:t>
      </w:r>
    </w:p>
    <w:p>
      <w:pPr/>
      <w:r>
        <w:t>Third, About, Contact, and Privacy pages. Three new HTML pages were created at the package root: about.html (sixteen-point-three kilobytes — explains what the platform is, what the site contains, the architectural stance, and authorship); contact.html (fourteen-point-seven kilobytes — stub for the author's preferred contact channels, to be customized before public deployment); privacy.html (fifteen-point-three kilobytes — describes the platform's privacy practices including what data is NOT collected, the privacy-preserving Cloudflare Web Analytics setup, and the data minimization stance). All three pages share a common template matching the platform_index.html aesthetic (flag background, masthead with topbar nav, tricolor band, paper-tone content area).</w:t>
      </w:r>
    </w:p>
    <w:p>
      <w:pPr/>
      <w:r>
        <w:t>Fourth, the hosting deployment guide. HOSTING.md (one-hundred-seventy lines, at package root) walks step-by-step through the deployment process: signing up for Cloudflare Pages, uploading the platform folder, pointing the GoDaddy domain's nameservers to Cloudflare, setting up the custom domain wethepeopleplatform.com with automatic SSL, enabling Cloudflare Web Analytics with the beacon token, and configuring the build script for ongoing content updates. The guide also documents alternative hosting options (Netlify, Vercel, GitHub Pages), provides a cost estimate (~$15-20/year for the domain; everything else free), discusses security considerations (HTTPS automatic, attack surface essentially zero given the static-only architecture), and gives a 'when you're ready to go live' checklist.</w:t>
      </w:r>
    </w:p>
    <w:p>
      <w:pPr/>
      <w:r>
        <w:t>Fifth, 404 and error handling. The catalog-load error UI (showing a graceful message when platform_catalog.js fails to load) already existed in platform_index.html and was verified to still work after the v3.7.26 changes. The hosting providers (Cloudflare Pages, Netlify, etc.) each have their own 404-page conventions that will handle deep-link 404s at the HTTP layer; documenting the option to add a custom 404.html is in the hosting guide.</w:t>
      </w:r>
    </w:p>
    <w:p>
      <w:pPr/>
      <w:r>
        <w:t>Sixth, analytics setup. The Cloudflare Web Analytics beacon snippet was added (commented out with a YOUR_TOKEN placeholder) to platform_index.html, about.html, contact.html, and privacy.html. The user enables analytics by signing up for Cloudflare Web Analytics, getting a beacon token, replacing the placeholder with the actual token, and uncommenting the snippet. The implementation is privacy-preserving by design (no cookies, no IP storage, no personally-identifying information, no behavioral profiling) and is documented in the privacy.html page.</w:t>
      </w:r>
    </w:p>
    <w:p>
      <w:pPr/>
      <w:r>
        <w:t>Seventh, platform_index.html removal from its own catalog. The catalog (platform_catalog.json and platform_catalog.js) no longer registers platform_index.html as a discoverable document. The catalog's totalDocuments count goes from one-hundred-ten to one-hundred-nine. The '(root)' folder entry was also removed (the only document in it was platform_index.html itself). The folder count goes from eight to seven. This resolves a conceptual oddity from earlier iterations where the navigator described itself as a discoverable document.</w:t>
      </w:r>
    </w:p>
    <w:p>
      <w:pPr/>
      <w:r>
        <w:t>Eighth, social-preview image. A one-thousand-two-hundred by six-hundred-thirty pixel PNG (thirty-one-point-three kilobytes) was generated at the package root as social-preview.png — used by Facebook, LinkedIn, and Twitter to render a rich preview card when the site URL is shared. The image features the platform title, subtitle, tagline, author byline, and a decorative American flag in the upper-right corner, plus tricolor bands at the top and bottom matching the site's visual language. The Open Graph meta tags (og:image, og:image:width, og:image:height, og:image:alt) and Twitter card meta tags (twitter:image, twitter:image:alt) in platform_index.html now reference this image.</w:t>
      </w:r>
    </w:p>
    <w:p>
      <w:pPr/>
      <w:r>
        <w:t>Audit infrastructure updates</w:t>
      </w:r>
    </w:p>
    <w:p>
      <w:pPr/>
      <w:r>
        <w:t>Two updates were made to audit_script.py to handle the new deployment artifacts. First, all eight os.walk traversals in the audit's expanded-scope checks were updated to skip the _web_html directory (where the generated HTML files live) as well as __pycache__. Second, the TOC_EXCLUDE_FILES set was expanded to include about.html, contact.html, and privacy.html (they are package-root user-facing files but are not part of the platform's numbered document inventory, so they should not be required in the TOC). Third, the audit_manifest_integrity function's os.walk was given the same _web_html exclusion. The Platform Package Version manifest table (table five) was extended with three new entries for about.html, contact.html, and privacy.html as legitimate package-root files at version v1.0 dated May 12, 2026.</w:t>
      </w:r>
    </w:p>
    <w:p>
      <w:pPr/>
      <w:r>
        <w:t>Scope what v3.7.26 does NOT change</w:t>
      </w:r>
    </w:p>
    <w:p>
      <w:pPr/>
      <w:r>
        <w:t>Pillar architecture: unchanged. Document content: unchanged (no docx files modified for content). Calculator: unchanged. Section 47 tracking: unchanged at eighty-one entries, fifty-three CLOSED, twenty-eight OPEN. PROCESS-4 remains CLOSED from v3.7.23. The audit's substantive checks (rate consistency, section reference integrity, OIR section progression, acronym definitions) are unchanged; only the directory-traversal scope was updated to skip the generated deployment artifacts.</w:t>
      </w:r>
    </w:p>
    <w:p>
      <w:pPr/>
      <w:r>
        <w:t>Iteration discipline summary</w:t>
      </w:r>
    </w:p>
    <w:p>
      <w:pPr/>
      <w:r>
        <w:t>v3.7.26 is the ninetieth consecutive clean current-iteration narrative produced under the abstracted-language auto-check discipline. The cycle proceeded as multiple phases: phase one created the build_web_html.py script and ran it to generate eighty-one HTML files in the _web_html/ directory; phase two updated the catalog (added htmlPath fields, removed self-listing, removed root folder entry) and regenerated platform_catalog.js from JSON; phase three created the three navigation pages (about/contact/privacy) with shared template; phase four wrote the hosting deployment guide; phase five generated the social-preview image and added Open Graph meta tags; phase six added the Cloudflare Web Analytics placeholder snippet; phase seven added page-navigation links in platform_index.html topbar; phase eight updated audit infrastructure to handle the new deployment artifacts; phase nine added the three new HTML pages to the Platform Package Version manifest; phase ten wrote this Section 133 narrative and bumped version metadata; phase eleven ran the final audit (clean) and shipped. Final audit: twelve observations, zero minor findings, zero significant findings.</w:t>
      </w:r>
    </w:p>
    <w:p>
      <w:pPr>
        <w:pStyle w:val="Heading1"/>
      </w:pPr>
      <w:r>
        <w:t>Section 134: v3.7.27 Curated Download Packages and Set-Download UI</w:t>
      </w:r>
    </w:p>
    <w:p>
      <w:pPr/>
      <w:r>
        <w:t>v3.7.27 implements a comprehensive download system for the platform that mirrors the website's menu structure. Visitors can now download individual documents, curated reading paths for specific audiences, all documents in a folder, all documents tagged with a pillar, or the complete platform package — every grouping that exists as a filter on the website now has a corresponding pre-built ZIP available for download. The implementation responds to the user's framing that downloads should let people engage with the surface and supporting documents in whichever way matches their interest.</w:t>
      </w:r>
    </w:p>
    <w:p>
      <w:pPr/>
      <w:r>
        <w:t>Build pipeline</w:t>
      </w:r>
    </w:p>
    <w:p>
      <w:pPr/>
      <w:r>
        <w:t>A new script (build_download_packages.py, two-hundred-ninety-four lines, at package root) reads the platform catalog and produces twenty-four ZIP files in the _downloads/ directory. The breakdown is: seven folder ZIPs covering all populated folders (Start Here, Vision and Communication, Technical White Papers, Mathematical Models, Analytical Framing, Presentation Materials, External Reviews); twelve pillar ZIPs covering all populated pillars (Community Contribution Plan, Empirical Wage Floors, Sovereign Education Fund, Universal Healthcare Access, Universal Childcare, Universal Mental Health Access, Civic Infrastructure, Universal Paid Family Time, Universal Long-Term Care, Federal Housing Investment, Climate Architecture, Immigration Architecture); four audience-path ZIPs (Academic readers, Advocacy organizations, Policy practitioners, Curious citizens) corresponding to the catalog's curated reading paths; and one complete-platform ZIP containing all one-hundred-nine documents. Each ZIP includes both the original docx files and the generated HTML versions of every included document, plus a README.txt at the ZIP root explaining what is inside, the recommended reading order for paths, and the platform's broader context. Total deployment footprint added: approximately thirty-eight megabytes across twenty-four ZIP files, with most groupings under three megabytes each.</w:t>
      </w:r>
    </w:p>
    <w:p>
      <w:pPr/>
      <w:r>
        <w:t>Set-download UI in platform_index.html</w:t>
      </w:r>
    </w:p>
    <w:p>
      <w:pPr/>
      <w:r>
        <w:t>Three changes were made to the platform index page to expose the downloads. First, each document card now has a small download icon (positioned next to the file-type badge) that triggers an immediate docx download when clicked, using a JavaScript helper that creates a hidden anchor element, sets its download attribute, and programmatically clicks it. The click handler uses event.stopPropagation to prevent the underlying card's open-in-browser behavior. Second, a set-download bar was added above the document grid. When the visitor activates a filter (selects a folder, pillar, or audience path), the bar becomes visible and offers to download the entire filtered set as a ZIP. The bar shows the filter label and document count, and the download link points to the appropriate pre-built ZIP file in the _downloads/ directory. The bar hides itself when the visitor clears the filter (returns to the All view). Third, the topbar navigation gained a Downloads link pointing to the new dedicated downloads page.</w:t>
      </w:r>
    </w:p>
    <w:p>
      <w:pPr/>
      <w:r>
        <w:t>Dedicated downloads landing page</w:t>
      </w:r>
    </w:p>
    <w:p>
      <w:pPr/>
      <w:r>
        <w:t>A new downloads.html page (thirty-four kilobytes) at the package root provides a comprehensive view of every download option. The page is organized into four sections matching the build script's categories: Complete Platform at the top (the headline option for visitors who want everything); Reading Paths for the four curated audience sequences; By Folder for the seven folder-based groupings; and By Pillar for the twelve pillar-based groupings. Each section presents the relevant downloads as a grid of cards showing the title, description, document count, and file size, with a clear Download call-to-action. The page uses the same flag-background and paper-tone aesthetic as the other site pages, and is linked from the topbar navigation on platform_index.html and from the page-nav on about.html, contact.html, and privacy.html.</w:t>
      </w:r>
    </w:p>
    <w:p>
      <w:pPr/>
      <w:r>
        <w:t>Per-document download access points</w:t>
      </w:r>
    </w:p>
    <w:p>
      <w:pPr/>
      <w:r>
        <w:t>An individual document can be downloaded from any of three access points: the small download icon on the document card on the platform index page (downloads the docx directly without leaving the index); the Download dot docx button at the top of any document's HTML version page (which v3.7.26 had already added when the DOCX-to-HTML pipeline was built); and any of the grouped ZIPs that include that document. The grouped ZIPs all include both docx and html versions, so a visitor who downloads the Universal Healthcare pillar ZIP gets browser-viewable HTML for every healthcare document in addition to the docx originals — they can read offline without Word installed.</w:t>
      </w:r>
    </w:p>
    <w:p>
      <w:pPr/>
      <w:r>
        <w:t>Audit infrastructure updates</w:t>
      </w:r>
    </w:p>
    <w:p>
      <w:pPr/>
      <w:r>
        <w:t>Two updates were made to audit_script.py. First, all nine os.walk traversals across the audit's various integrity checks were updated to skip the _downloads directory in addition to the previously-added _web_html and __pycache__. Second, downloads.html was added to TOC_EXCLUDE_FILES so it is not required to appear in the platform's numbered table of contents. The Platform Package Version manifest table was extended with a row for downloads.html at version v1.0 dated May 12, 2026.</w:t>
      </w:r>
    </w:p>
    <w:p>
      <w:pPr/>
      <w:r>
        <w:t>Scope what v3.7.27 does NOT change</w:t>
      </w:r>
    </w:p>
    <w:p>
      <w:pPr/>
      <w:r>
        <w:t>Pillar architecture: unchanged. Document content: unchanged (no docx files modified). Calculator: unchanged. Section 47 tracking: unchanged at eighty-one entries, fifty-three CLOSED, twenty-eight OPEN. PROCESS-4 remains CLOSED. The catalog's documents, folders, pillars, and audience-paths data structures are unchanged; the build script reads from this existing data rather than introducing new taxonomies. The HTML versions in _web_html/ generated by v3.7.26's build_web_html.py are unchanged in this cycle (they are included in the new ZIPs but not regenerated).</w:t>
      </w:r>
    </w:p>
    <w:p>
      <w:pPr/>
      <w:r>
        <w:t>Iteration discipline summary</w:t>
      </w:r>
    </w:p>
    <w:p>
      <w:pPr/>
      <w:r>
        <w:t>v3.7.27 is the ninety-first consecutive clean current-iteration narrative produced under the abstracted-language auto-check discipline. The cycle proceeded as multiple phases: phase one wrote build_download_packages.py and ran it to generate twenty-four ZIPs in _downloads/ (totaling approximately thirty-eight megabytes); phase two updated platform_index.html with the per-card download icon, the set-download bar, the JavaScript handlers, and the topbar navigation Downloads link; phase three created downloads.html as the comprehensive landing page for all downloads; phase four updated the auxiliary pages (about.html, contact.html, privacy.html) to include the Downloads navigation link; phase five updated the audit script to handle the new _downloads directory and the downloads.html page; phase six added downloads.html to the Platform Package Version manifest; phase seven wrote this Section 134 narrative and bumped version metadata; phase eight ran the final audit (clean) and shipped. Final audit: twelve observations, zero minor findings, zero significant findings.</w:t>
      </w:r>
    </w:p>
    <w:p>
      <w:pPr>
        <w:pStyle w:val="Heading1"/>
      </w:pPr>
      <w:r>
        <w:t>Section 135: v3.7.28 Comprehensive Maintenance Guide for Website Operations</w:t>
      </w:r>
    </w:p>
    <w:p>
      <w:pPr/>
      <w:r>
        <w:t>v3.7.28 adds MAINTENANCE_GUIDE.md, a comprehensive ongoing-operations reference for the maintainer of the wethepeopleplatform.com deployment. The cycle responds to the user's request for instructions covering every aspect of creating and maintaining the website, including items beyond the initial-deployment scope already documented in HOSTING.md. Where HOSTING.md focuses on the one-time setup of Cloudflare Pages, GoDaddy nameserver configuration, custom domain wiring, SSL provisioning, and analytics enablement, the new MAINTENANCE_GUIDE.md focuses on the daily-and-weekly operations of running the site afterward.</w:t>
      </w:r>
    </w:p>
    <w:p>
      <w:pPr/>
      <w:r>
        <w:t>MAINTENANCE_GUIDE.md scope and structure</w:t>
      </w:r>
    </w:p>
    <w:p>
      <w:pPr/>
      <w:r>
        <w:t>The guide is approximately nine-hundred-forty lines, thirty-six kilobytes, at the package root. It is organized into twelve major sections plus a table of contents. Section one is the Quick Reference card — the three build commands the maintainer will run most often. Section two enumerates required and optional tools (Python three-point-eight or higher, pandoc, python-docx, a text editor, Microsoft Word or LibreOffice or Google Docs, a web browser; optional Git, Wrangler CLI). Section three is the one-time initial-setup checklist that summarizes HOSTING.md as a quick-reference checklist. Section four is the largest — the Common Tasks Cookbook — covering ten specific scenarios in step-by-step detail: updating an existing document; adding a brand-new document; removing a document; updating the About / Contact / Privacy pages; updating the social preview image; changing or adding analytics; updating the navigation menu; updating the calculator; adding a new reading path; and changing colors or fonts. Each task lists the exact files to modify, the build scripts to run afterward, and an estimated time required.</w:t>
      </w:r>
    </w:p>
    <w:p>
      <w:pPr/>
      <w:r>
        <w:t>Reference sections</w:t>
      </w:r>
    </w:p>
    <w:p>
      <w:pPr/>
      <w:r>
        <w:t>Section five is the Build Scripts Reference, documenting build_web_html.py, build_download_packages.py, and audit_script.py with their flags, required tools, output locations, and healthy-state indicators. A one-command build-all workflow is provided. Section six covers Deployment Workflows: manual drag-and-drop to Cloudflare Pages (simplest), Wrangler CLI (faster for frequent updates), and Git-based continuous deployment (most professional, supports collaboration and history). Pre-deployment and post-deployment checklists are included. Rollback procedure for bad deploys is documented. Section seven covers Monitoring and Analytics: what Cloudflare Web Analytics shows, what it does not show by design, recommended cadence for checking, and signal-to-response mappings for common patterns. Section eight covers Backup and Recovery: what needs to be backed up, the recommended four-layer strategy (local copy, cloud backup, Git, quarterly archive), and recovery scenarios for common failure modes (laptop loss, bad deploy, accidental docx corruption, compromised accounts, expired domain).</w:t>
      </w:r>
    </w:p>
    <w:p>
      <w:pPr/>
      <w:r>
        <w:t>Customization, troubleshooting, security, and FAQ</w:t>
      </w:r>
    </w:p>
    <w:p>
      <w:pPr/>
      <w:r>
        <w:t>Section nine covers Customization and Branding: visual tweaks like flag opacity, accent color, typography; adding new content types like a blog, events page, donate page, or FAQ; instructions for detaching the platform branding if the maintainer wants to fork the design. Section ten is the Troubleshooting section: ten specific failure modes with diagnoses and fixes, ranging from DNS-not-propagated to stale browser caches to build-script errors to audit-script findings. Each troubleshooting item identifies probable causes and concrete fixes. Section eleven is the Security Checklist: account-level security (two-factor authentication on Cloudflare, GoDaddy, GitHub), content security (no secrets committed, no PII in public docs, email-obfuscation recommendations), site-level security (HTTPS verification, Cloudflare SSL/TLS settings, Bot Fight Mode), monitoring, and a periodic-audit cadence covering monthly, quarterly, and annual review tasks. Section twelve is the FAQ with eleven common questions covering update cadence, direct HTML editing, comments systems, contact channels, cost, downtime resilience, monetization, engagement metrics, multi-maintainer workflows, host-migration, and end-of-life planning.</w:t>
      </w:r>
    </w:p>
    <w:p>
      <w:pPr/>
      <w:r>
        <w:t>Cross-references and documentation hygiene</w:t>
      </w:r>
    </w:p>
    <w:p>
      <w:pPr/>
      <w:r>
        <w:t>HOSTING.md was updated with a callout at the top pointing readers to MAINTENANCE_GUIDE.md for ongoing operations, distinguishing the two documents' purposes (HOSTING.md is one-time deployment; MAINTENANCE_GUIDE.md is ongoing operations). README.txt at the package root was updated with a new SUPPORT DOCUMENTATION section near the top that lists all maintainer-facing documentation (HOSTING.md, MAINTENANCE_GUIDE.md, VERSIONLOG.txt) and all visitor-facing documentation (about.html, contact.html, privacy.html, downloads.html), giving the maintainer a single entry point that explains what each document is for. The placement near the top of README.txt ensures a returning maintainer who opens the README to find their bearings can immediately see which document to consult for their current need.</w:t>
      </w:r>
    </w:p>
    <w:p>
      <w:pPr/>
      <w:r>
        <w:t>Audit infrastructure</w:t>
      </w:r>
    </w:p>
    <w:p>
      <w:pPr/>
      <w:r>
        <w:t>MAINTENANCE_GUIDE.md is a markdown file (extension dot md), which the audit script does not track because markdown files are not part of the platform's numbered document inventory (the audit's file-extension allowlist includes docx, html, pptx, pdf, csv, xlsx — markdown is treated like HOSTING.md, VERSIONLOG.txt, and README.txt as auxiliary documentation that does not need TOC entries or manifest entries). No audit-infrastructure changes were needed for this iteration.</w:t>
      </w:r>
    </w:p>
    <w:p>
      <w:pPr/>
      <w:r>
        <w:t>Scope what v3.7.28 does NOT change</w:t>
      </w:r>
    </w:p>
    <w:p>
      <w:pPr/>
      <w:r>
        <w:t>Pillar architecture: unchanged. Document content: unchanged (no docx files modified). Calculator: unchanged. Section 47 tracking: unchanged at eighty-one entries, fifty-three CLOSED, twenty-eight OPEN. PROCESS-4 remains CLOSED. Catalog data, build scripts, and download packages are all unchanged from v3.7.27. The only new files added to the package are MAINTENANCE_GUIDE.md at the package root and minor cross-reference updates to README.txt and HOSTING.md. No new audit findings, no new tracked items.</w:t>
      </w:r>
    </w:p>
    <w:p>
      <w:pPr/>
      <w:r>
        <w:t>Iteration discipline summary</w:t>
      </w:r>
    </w:p>
    <w:p>
      <w:pPr/>
      <w:r>
        <w:t>v3.7.28 is the ninety-second consecutive clean current-iteration narrative produced under the abstracted-language auto-check discipline. The cycle proceeded as a three-phase pass: phase one wrote MAINTENANCE_GUIDE.md as a single comprehensive reference document (twelve sections plus table of contents, approximately nine-hundred-forty lines); phase two added cross-references from HOSTING.md and README.txt so the maintainer can discover the new guide from their existing entry points; phase three wrote this Section 135 narrative and bumped version metadata. Final audit: twelve observations, zero minor findings, zero significant findings.</w:t>
      </w:r>
    </w:p>
    <w:p>
      <w:pPr>
        <w:pStyle w:val="Heading1"/>
      </w:pPr>
      <w:r>
        <w:t>Section 136: v3.7.29 Build Script Preflight Checks and Better Error Messages</w:t>
      </w:r>
    </w:p>
    <w:p>
      <w:pPr/>
      <w:r>
        <w:t>v3.7.29 fixes a usability issue that surfaced during real-world deployment: a Windows user attempting to run build_web_html.py without pandoc installed received the cryptic operating-system error 'WinError 2: The system cannot find the file specified' for every one of the eighty-one documents the script tried to convert. The error was produced by Python's subprocess module when it could not locate the pandoc executable, but the script's exception handler reported only the raw exception text without explaining what the user needed to do. This cycle adds upfront dependency-availability checks to all three build scripts with platform-specific install instructions printed when a required tool is missing.</w:t>
      </w:r>
    </w:p>
    <w:p>
      <w:pPr/>
      <w:r>
        <w:t>build_web_html.py preflight check</w:t>
      </w:r>
    </w:p>
    <w:p>
      <w:pPr/>
      <w:r>
        <w:t>A new function check_pandoc was added that runs before any document processing. It uses Python's shutil.which to verify pandoc is on the system PATH, then attempts to run pandoc --version to confirm it actually executes. If the check fails, the script prints a clearly-bordered error block explaining that pandoc is required, then prints platform-specific install instructions based on sys.platform: Windows users see winget, Chocolatey, and direct-installer options; macOS users see Homebrew, MacPorts, and direct-installer options; Linux users see apt, dnf, and pacman commands. After the install instructions, the script reminds users to close and reopen their terminal so the PATH environment variable refreshes, then to verify with pandoc --version before re-running. The script exits with code two (missing dependency) rather than the generic exit one, allowing scripted workflows to distinguish dependency errors from other failures.</w:t>
      </w:r>
    </w:p>
    <w:p>
      <w:pPr/>
      <w:r>
        <w:t>build_download_packages.py preflight check</w:t>
      </w:r>
    </w:p>
    <w:p>
      <w:pPr/>
      <w:r>
        <w:t>The load_catalog function was enhanced to handle two failure modes gracefully. First, if platform_catalog.json is missing, the script prints a clearly-bordered error explaining the script must be run from the platform root directory (the folder containing platform_index.html), not from inside a subfolder. This catches a common mistake. Second, if the JSON is malformed, the script reports the specific line number, column, and JSON-parse error message rather than crashing with a raw stack trace. Both error paths exit with code two.</w:t>
      </w:r>
    </w:p>
    <w:p>
      <w:pPr/>
      <w:r>
        <w:t>audit_script.py preflight check</w:t>
      </w:r>
    </w:p>
    <w:p>
      <w:pPr/>
      <w:r>
        <w:t>The script already had a try-except wrapper around its python-docx import, but the original error message was a single line saying only 'ERROR: python-docx not installed. Run: pip install python-docx.' This was enhanced to a multi-line clearly-bordered block that mentions the standard install command, the pip3-versus-pip distinction for systems where both Python two and Python three are installed, and the workaround for the 'externally-managed-environment' error that Linux users encounter on systems where pip refuses to install into the system Python. The recommended workarounds are pip install --user python-docx and using a virtual environment.</w:t>
      </w:r>
    </w:p>
    <w:p>
      <w:pPr/>
      <w:r>
        <w:t>MAINTENANCE_GUIDE.md updates</w:t>
      </w:r>
    </w:p>
    <w:p>
      <w:pPr/>
      <w:r>
        <w:t>The maintenance guide was updated in two places. The Tools You Need section added a dedicated Installing pandoc subsection with platform-specific command tables for Windows (winget and direct installer), macOS (Homebrew), and Linux (apt, dnf, pacman). The instruction to close and reopen the terminal after installing was made explicit. The verification commands now include a note that build_web_html.py has the preflight check and will tell users exactly what to do if pandoc is missing. The Troubleshooting section's pandoc error-message table was expanded with a Windows-specific row for the WinError 2 message that the user originally reported, plus an entry for the new preflight error format that the updated script produces. A new install-commands table was added inline for quick reference. The guidance now emphasizes that PATH refresh requires closing and reopening the terminal, not just continuing in the same session, since this is the most common point of failure on Windows.</w:t>
      </w:r>
    </w:p>
    <w:p>
      <w:pPr/>
      <w:r>
        <w:t>Scope what v3.7.29 does NOT change</w:t>
      </w:r>
    </w:p>
    <w:p>
      <w:pPr/>
      <w:r>
        <w:t>Pillar architecture: unchanged. Document content: unchanged. Calculator: unchanged. Audit infrastructure: unchanged (the script's audit logic is unchanged; only its import-error message was improved). Section 47 tracking: unchanged at eighty-one entries, fifty-three CLOSED, twenty-eight OPEN. PROCESS-4 remains CLOSED. The build scripts produce identical output when their dependencies are correctly installed; the only behavior change is when a dependency is missing, the user gets a helpful error instead of a cryptic one.</w:t>
      </w:r>
    </w:p>
    <w:p>
      <w:pPr/>
      <w:r>
        <w:t>Iteration discipline summary</w:t>
      </w:r>
    </w:p>
    <w:p>
      <w:pPr/>
      <w:r>
        <w:t>v3.7.29 is the ninety-third consecutive clean current-iteration narrative produced under the abstracted-language auto-check discipline. The cycle proceeded as a three-phase pass: phase one added the check_pandoc preflight function to build_web_html.py and the import-error wrapper to audit_script.py and the catalog-error handling to build_download_packages.py; phase two updated the MAINTENANCE_GUIDE.md Tools and Troubleshooting sections; phase three wrote this Section 136 narrative and bumped version metadata. Final audit: twelve observations, zero minor findings, zero significant findings.</w:t>
      </w:r>
    </w:p>
    <w:p>
      <w:pPr>
        <w:pStyle w:val="Heading1"/>
      </w:pPr>
      <w:r>
        <w:t>Section 137: v3.7.30 Photographic Flag Background and Root Redirect</w:t>
      </w:r>
    </w:p>
    <w:p>
      <w:pPr/>
      <w:r>
        <w:t>v3.7.30 makes two user-facing changes prompted by real deployment experience. First, the abstract SVG flag background that was generated procedurally across all five user-facing pages and the eighty-one per-document HTML versions has been replaced with a licensed photographic flag image (Adobe Stock asset number three-two-eight-one-two-three-zero-zero-eight, licensed under invoice number three-four-five-five-eight-nine-three-two-nine-seven dated May 12, 2026 for the wethepeopleplatform.com deployment). The licensed invoice PDF is preserved in the package at the path _licenses/wethepeopleplatform_adobe_invoice_20260512.pdf so the maintainer has documentation of the license should it ever be needed. Second, a root index.html redirect file was added that immediately forwards visitors to platform_index.html, resolving the issue where Cloudflare Pages and other static hosts default to looking for index.html at the deployment root and returned a four-oh-four when only platform_index.html was present.</w:t>
      </w:r>
    </w:p>
    <w:p>
      <w:pPr/>
      <w:r>
        <w:t>Image preparation and integration</w:t>
      </w:r>
    </w:p>
    <w:p>
      <w:pPr/>
      <w:r>
        <w:t>The Adobe Stock source image was eight-thousand pixels wide by two-thousand-five-hundred-sixty-three pixels tall and three-point-five megabytes in file size, which would have been excessive bandwidth for a background asset. The image was optimized by resizing to two-thousand-five-hundred-sixty pixels wide (preserving aspect ratio at two-thousand-five-hundred-sixty by eight-hundred-twenty) and re-saving as progressive JPEG at quality eighty-two with PIL's optimize flag. The optimized image is three-hundred-twelve kilobytes, roughly eleven-times smaller than the source while maintaining visual quality more than adequate for a ten-percent-opacity background. The optimized file is placed at the package root as flag-background.jpg.</w:t>
      </w:r>
    </w:p>
    <w:p>
      <w:pPr/>
      <w:r>
        <w:t>Integration spanned five HTML page templates and one Python build script template. In each of platform_index.html, about.html, contact.html, privacy.html, and downloads.html, the inline SVG block was replaced with a single image element pointing to flag-background.jpg, and the corresponding CSS rule was extended with object-fit cover to ensure the image scales correctly across viewport aspect ratios without distortion. In build_web_html.py the HTML_TEMPLATE block was similarly updated, with the per-document HTML files using a relative path of two-dots-slash-two-dots-slash-flag-background.jpg since they live in _web_html/folder/file.html. All eighty-one per-document HTML files were regenerated using build_web_html.py --force to incorporate the new template, and all twenty-four download ZIPs were regenerated via build_download_packages.py to bundle the updated HTML versions.</w:t>
      </w:r>
    </w:p>
    <w:p>
      <w:pPr/>
      <w:r>
        <w:t>Root redirect file</w:t>
      </w:r>
    </w:p>
    <w:p>
      <w:pPr/>
      <w:r>
        <w:t>The deployment issue that prompted this change was straightforward: Cloudflare Pages (and Netlify and most other static hosts) treat the root URL path slash as a request for slash-index.html, but the platform's main page is named platform_index.html. The visitor would see a four-oh-four when visiting the deployment root URL. The fix is a small index.html file at the package root that performs an immediate redirect to platform_index.html using both an HTTP-equiv meta refresh with content zero seconds (for non-JavaScript clients and crawlers) and a JavaScript window.location.replace call (for instant client-side redirect in modern browsers). The file is approximately one kilobyte and uses the platform's paper-tone aesthetic with a brief visible message in case the redirect fails for any reason.</w:t>
      </w:r>
    </w:p>
    <w:p>
      <w:pPr/>
      <w:r>
        <w:t>License documentation</w:t>
      </w:r>
    </w:p>
    <w:p>
      <w:pPr/>
      <w:r>
        <w:t>Per the platform's general principle of preserving documentation alongside the artifacts it relates to, the Adobe Stock invoice PDF was copied to a new _licenses/ directory at the package root. The invoice shows the May 12, 2026 service term for the ten-assets-per-month subscription priced at twenty-nine dollars and ninety-nine cents, the customer number, the order number, and the product number, providing complete chain of evidence that the licensed image's use on the public deployment was authorized. If at any future point Adobe (or any other party) questions the license status of the flag image, the maintainer has the invoice immediately available. The _licenses/ directory was added to the audit script's directory-skip list across all nine os.walk traversals so the licensing documentation does not interfere with manifest integrity checks (those checks expect document files, not PDF licensing receipts).</w:t>
      </w:r>
    </w:p>
    <w:p>
      <w:pPr/>
      <w:r>
        <w:t>Audit infrastructure updates</w:t>
      </w:r>
    </w:p>
    <w:p>
      <w:pPr/>
      <w:r>
        <w:t>Three updates were made to audit_script.py. First, all nine os.walk traversals added _licenses to the directory-skip list (in addition to the previously-added _web_html, _downloads, and __pycache__). Second, index.html and flag-background.jpg were added to TOC_EXCLUDE_FILES so they are not required to appear in the platform's numbered table of contents (they are deployment-infrastructure files, not platform documents). Third, the Platform Package Version manifest table was extended with two rows: index.html at version v1.0 dated May 12, 2026, and flag-background.jpg at version v1.0 with a note identifying the Adobe Stock asset number and license status.</w:t>
      </w:r>
    </w:p>
    <w:p>
      <w:pPr/>
      <w:r>
        <w:t>Scope what v3.7.30 does NOT change</w:t>
      </w:r>
    </w:p>
    <w:p>
      <w:pPr/>
      <w:r>
        <w:t>Pillar architecture: unchanged. Document content: unchanged (no docx files modified). Calculator: unchanged. Build script logic: unchanged except for the template content (the SVG-to-image swap; gen_flag_svg() function remains in build_web_html.py as dead code that could be revived if anyone ever wanted to regenerate the SVG version). Section 47 tracking: unchanged at eighty-one entries, fifty-three CLOSED, twenty-eight OPEN. PROCESS-4 remains CLOSED. The catalog's documents, folders, pillars, and audience-paths data structures are entirely unchanged. The new files are deployment infrastructure (index.html, flag-background.jpg, _licenses/), not platform content.</w:t>
      </w:r>
    </w:p>
    <w:p>
      <w:pPr/>
      <w:r>
        <w:t>Iteration discipline summary</w:t>
      </w:r>
    </w:p>
    <w:p>
      <w:pPr/>
      <w:r>
        <w:t>v3.7.30 is the ninety-fourth consecutive clean current-iteration narrative produced under the abstracted-language auto-check discipline. The cycle proceeded as a four-phase pass: phase one optimized the licensed Adobe Stock image and placed it at the package root with the invoice in a new _licenses/ subdirectory; phase two updated the SVG-to-image replacement across all five user-facing HTML pages and the build_web_html.py template, then regenerated the eighty-one per-document HTML files and twenty-four download ZIPs; phase three added the index.html root redirect that resolves the four-oh-four problem on Cloudflare Pages and other static hosts that default to looking for index.html at the deployment root; phase four updated audit infrastructure and version metadata. Final audit: twelve observations, zero minor findings, zero significant findings.</w:t>
      </w:r>
    </w:p>
    <w:p>
      <w:pPr>
        <w:pStyle w:val="Heading1"/>
      </w:pPr>
      <w:r>
        <w:t>Section 138: v3.7.31 User-Reported Site Issues Cleanup</w:t>
      </w:r>
    </w:p>
    <w:p>
      <w:pPr/>
      <w:r>
        <w:t>v3.7.31 addresses five user-reported issues identified during early deployment testing of the wethepeopleplatform.com hosting. The issues were a mix of content concerns (author name appearing as sender placeholder in letter templates), interface bugs (Reading Path label visually associated with wrong filter group, Source Folder link returning to home page on deployed site, invisible Download button), and a data-integrity issue (pillar pill counts under-reporting the actual number of documents the filter would return). All five fixes ship in this iteration.</w:t>
      </w:r>
    </w:p>
    <w:p>
      <w:pPr/>
      <w:r>
        <w:t>Issue one author name appearing as sender placeholder in letter templates</w:t>
      </w:r>
    </w:p>
    <w:p>
      <w:pPr/>
      <w:r>
        <w:t>Three documents in the package are letter or email templates intended for adaptation by users beyond the author, but had the author's name baked into the signature lines: the constituent letter (02_Constituent_Letter.docx, signature at paragraphs thirty-five and thirty-six), the academic outreach letter templates (05_Academic_Outreach_Letter_Templates.docx, signatures at paragraphs fifteen, fifty-nine, sixty-one, and sixty-three across the primary outreach template and three follow-up email templates), and the tribal consultation framework letter section (05_Tribal_Consultation_Framework.docx, signature at paragraph fifty-eight). Each was updated to replace the author's name with bracketed placeholder text ([Your Name] for the name itself, [Your Title or Profession] for the constituent letter's title line which had been the author's job title). The byline at the top of each document — which identifies the author of the template itself rather than the intended sender — was left unchanged as that is authorship attribution rather than a sender placeholder. Three docx files modified, all three regenerated to HTML via build_web_html.py incremental detection, all twenty-four download ZIPs regenerated.</w:t>
      </w:r>
    </w:p>
    <w:p>
      <w:pPr/>
      <w:r>
        <w:t>Issue two Reading Path label visually associated with wrong filter group</w:t>
      </w:r>
    </w:p>
    <w:p>
      <w:pPr/>
      <w:r>
        <w:t>The filter bar on platform_index.html consists of five filter groups (Filter, Type, Pillar, Folder, Reading Path), each with a small caps label followed by the relevant filter pills. The bar uses flex-wrap so when the viewport is too narrow to fit all groups on one line, the bar wraps. The previous structure placed labels and pills as siblings of each other at the flex-container level, with vertical-rule dividers between groups. Under wrapping conditions the wrap could occur between a label and its associated pills, leaving for example the Reading Path label trailing at the end of the Folder pills line with the Reading Path pills wrapping to a new line below. The fix wraps each label-and-pills group in a div with class filter-group styled as display inline-flex with its own flex-wrap. The flex container now wraps between groups (which is desired) but never within a group (which prevents the label-and-pills separation the user reported). The CSS adds a fourteen-pixel right margin on each group to maintain visual separation now that the explicit vertical-rule dividers were removed (the dividers were redundant once each group is its own flex container).</w:t>
      </w:r>
    </w:p>
    <w:p>
      <w:pPr/>
      <w:r>
        <w:t>Issue three Source Folder link broken on deployed sites</w:t>
      </w:r>
    </w:p>
    <w:p>
      <w:pPr/>
      <w:r>
        <w:t>The Source Folder link in the platform_index.html quicklinks bar pointed to a relative URL of dot-slash, which on a local file system opens the containing directory in a file browser (the original intended behavior when the user opens platform_index.html directly from their downloaded folder). On a deployed static-hosted site the same href resolves to the deployment root URL, which serves the index.html redirect that v3.7.30 added, which redirects right back to platform_index.html. The user correctly observed this returns visitors to the home page rather than doing anything useful. The link was removed from platform_index.html in this cycle. The downloads.html page (added in v3.7.27) and the Downloads link in the topbar already provide the legitimate way for deployed-site visitors to access the underlying files, so removing the local-only Source Folder link does not reduce functionality on the deployed site. Users who download the package locally and open platform_index.html from their file system can navigate their own file manager directly without needing a link from the page itself.</w:t>
      </w:r>
    </w:p>
    <w:p>
      <w:pPr/>
      <w:r>
        <w:t>Issue four pillar pill counts under-reporting filter results</w:t>
      </w:r>
    </w:p>
    <w:p>
      <w:pPr/>
      <w:r>
        <w:t>The user observed that clicking the Pillar Nine pill which displays a count of two documents in fact reveals fourteen documents in the filtered results. Investigation showed the issue is broader than Pillar Nine: all twelve pillars under-report their actual filter result count, with discrepancies ranging from five documents (Pillar One: catalog claims thirty-six, actual is forty-one) to twelve documents (Pillar Nine: catalog claims two, actual is fourteen). The root cause is the catalog's pillars-array count field was set to the number of documents originally authored as primary substantiation for each pillar (a curated subset, typically the dedicated substantiation document plus a few directly-supporting analyses), while the click-to-filter behavior shows all documents that have the pillar in their pillars-tag array (which includes cross-cutting documents that touch on multiple pillars). Over the platform's iteration history many documents were tagged with pillar metadata as cross-cutting concerns, but the pillars-array counts were never recalculated. The fix recalculates count for each of the twelve pillars based on actual tagged-document occurrence in the catalog: Pillar One thirty-six to forty-one, Pillar Two seventeen to twenty-four, Pillar Three twelve to twenty, Pillar Four twenty-nine to thirty-six, Pillar Five seventeen to twenty-four, Pillar Six eleven to eighteen, Pillar Seven twenty-five to thirty-three, Pillar Eight two to nine, Pillar Nine two to fourteen, Pillar Ten two to eleven, Pillar Eleven two to eleven, Pillar Twelve two to nine. The displayed pill count now matches the number of documents the filter will reveal. The semantic meaning of the count is also clearer for users: it represents the number of documents tagged with this pillar across the entire platform, including substantiation documents, cross-cutting analyses, and worked examples.</w:t>
      </w:r>
    </w:p>
    <w:p>
      <w:pPr/>
      <w:r>
        <w:t>Issue five invisible Download button</w:t>
      </w:r>
    </w:p>
    <w:p>
      <w:pPr/>
      <w:r>
        <w:t>The user reported that the Download this set zip button in the set-download bar (which appears above the document grid when a filter is active) had white font on what appeared to be a transparent or matching-background fill, making the button invisible until hover state revealed the red background. Inspection of the CSS rule showed background var dash dash red, color white. The intended behavior was red-background with white text always, but the user's report indicated this was not what they saw. Several plausible failure modes were addressed defensively: first, the CSS variable lookup could fail if the rule is parsed before the variable is defined, so the explicit hexadecimal hash B-twenty-two-two-three-four was added as a var fallback; second, anchor tags have default link-color browser styling that can in certain browsers override class-level color declarations, so explicit a-dot-download-btn-colon-link and a-dot-download-btn-colon-visited pseudo-class selectors were added; third, the color white declaration was promoted to color hash f-f-f-f-f-f important to defeat any specificity competition; fourth, a one-pixel red border was added so even if the background fill fails the button remains visible as a red-outlined element; fifth, a subtle box-shadow was added for depth so the button reads as a clickable affordance even under unusual rendering conditions; sixth, the font weight was bumped from five hundred to six hundred for slightly stronger character weight; and seventh, an explicit focus outline was added for keyboard accessibility. The result is a button that should render correctly across all browsers and rendering pipelines, with multiple visual reinforcements so any single failure mode does not render the button invisible.</w:t>
      </w:r>
    </w:p>
    <w:p>
      <w:pPr/>
      <w:r>
        <w:t>Cascading regenerations</w:t>
      </w:r>
    </w:p>
    <w:p>
      <w:pPr/>
      <w:r>
        <w:t>Three docx files were modified (constituent letter, academic outreach letter templates, tribal consultation framework), triggering automatic regeneration of their HTML versions in the underscore-web-html directory via the build-web-html-py script's mtime-based incremental detection. All twenty-four download ZIPs in the underscore-downloads directory were regenerated via build-download-packages-py to bundle the updated docx and HTML versions. The catalog's pillars-array counts were updated in both platform-catalog-dot-json and platform-catalog-dot-js (regenerated from the JSON). No other catalog fields changed.</w:t>
      </w:r>
    </w:p>
    <w:p>
      <w:pPr/>
      <w:r>
        <w:t>Scope what v3.7.31 does NOT change</w:t>
      </w:r>
    </w:p>
    <w:p>
      <w:pPr/>
      <w:r>
        <w:t>Pillar architecture: unchanged. Document content other than the three signature-line edits: unchanged. Calculator: unchanged. Build script logic: unchanged. Audit infrastructure: unchanged. Section forty-seven tracking: unchanged at eighty-one entries, fifty-three CLOSED, twenty-eight OPEN. PROCESS-4 remains CLOSED. The catalog's documents, folders, and audience-paths data structures are unchanged; only the pillars-array count field was corrected.</w:t>
      </w:r>
    </w:p>
    <w:p>
      <w:pPr/>
      <w:r>
        <w:t>Iteration discipline summary</w:t>
      </w:r>
    </w:p>
    <w:p>
      <w:pPr/>
      <w:r>
        <w:t>v3.7.31 is the ninety-fifth consecutive clean current-iteration narrative produced under the abstracted-language auto-check discipline. The cycle proceeded as a five-phase pass corresponding to the five user-reported issues: phase one identified and replaced sender-placeholder author names in three letter-template documents; phase two restructured the filter bar HTML to wrap each label-and-pills group in a no-break container; phase three removed the Source Folder link from platform-index-html since it was a local-only convenience that does not work on deployed sites; phase four recalculated all twelve pillar counts in the catalog to match actual tagged-document counts; phase five hardened the Download button CSS with multiple defensive measures against browser-default link-color overrides, CSS-variable-resolution failures, and other potential failure modes. Final audit: twelve observations, zero minor findings, zero significant findings.</w:t>
      </w:r>
    </w:p>
    <w:p>
      <w:pPr>
        <w:pStyle w:val="Heading1"/>
      </w:pPr>
      <w:r>
        <w:t>Closing</w:t>
      </w:r>
    </w:p>
    <w:p>
      <w:pPr>
        <w:spacing w:after="240" w:before="480"/>
      </w:pPr>
      <w:r>
        <w:rPr>
          <w:rFonts w:ascii="Arial" w:cs="Arial" w:eastAsia="Arial" w:hAnsi="Arial"/>
          <w:b/>
          <w:bCs/>
          <w:color w:val="1F4E78"/>
          <w:sz w:val="36"/>
          <w:szCs w:val="36"/>
        </w:rPr>
        <w:t>This registry exists because honest disclosure of limitations strengthens rather than weakens a serious analytical work. A reader who finishes this registry knows what the platform's authors know about the platform's limitations. That knowledge does not disqualify the platform from serious consideration; it qualifies the platform as the kind of work that takes its own limitations seriously.</w:t>
      </w:r>
    </w:p>
    <w:p>
      <w:pPr>
        <w:spacing w:after="240" w:before="480"/>
      </w:pPr>
      <w:r>
        <w:rPr>
          <w:rFonts w:ascii="Arial" w:cs="Arial" w:eastAsia="Arial" w:hAnsi="Arial"/>
          <w:b/>
          <w:bCs/>
          <w:color w:val="1F4E78"/>
          <w:sz w:val="36"/>
          <w:szCs w:val="36"/>
        </w:rPr>
        <w:t>Future releases should treat this registry as a living document. Items mitigated should be moved from Section 2 (Open Issues) to Section 1 (Mitigated). New issues identified in future audits should be added with their own honest assessment of why they have not yet been resolved. Items in Section 3 (Topics Needing More Research) should be addressed as the platform's analytical capacity grows or as external expert consultation becomes available.</w:t>
      </w:r>
    </w:p>
    <w:p>
      <w:pPr>
        <w:spacing w:after="240" w:before="480"/>
      </w:pPr>
      <w:r>
        <w:rPr>
          <w:rFonts w:ascii="Arial" w:cs="Arial" w:eastAsia="Arial" w:hAnsi="Arial"/>
          <w:b/>
          <w:bCs/>
          <w:color w:val="1F4E78"/>
          <w:sz w:val="36"/>
          <w:szCs w:val="36"/>
        </w:rPr>
        <w:t>The platform is what it is: a substantial body of work developed under specific constraints by a specific collaboration. It is not a finished policy proposal that has solved every question. It is a coherent analytical framework that engages honestly with what it has and has not solved. This registry is the index of what it has not yet solved.</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