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52"/>
          <w:szCs w:val="52"/>
        </w:rPr>
        <w:t xml:space="preserve">WHAT THIS MEANS</w:t>
      </w:r>
    </w:p>
    <w:p>
      <w:pPr>
        <w:spacing w:after="100"/>
        <w:jc w:val="center"/>
      </w:pPr>
      <w:r>
        <w:rPr>
          <w:rFonts w:ascii="Arial" w:cs="Arial" w:eastAsia="Arial" w:hAnsi="Arial"/>
          <w:b/>
          <w:bCs/>
          <w:color w:val="1F4E78"/>
          <w:sz w:val="52"/>
          <w:szCs w:val="52"/>
        </w:rPr>
        <w:t xml:space="preserve">FOR YOU</w:t>
      </w:r>
    </w:p>
    <w:p>
      <w:pPr>
        <w:spacing w:after="200"/>
        <w:jc w:val="center"/>
      </w:pPr>
      <w:r>
        <w:rPr>
          <w:rFonts w:ascii="Arial" w:cs="Arial" w:eastAsia="Arial" w:hAnsi="Arial"/>
          <w:i/>
          <w:iCs/>
          <w:color w:val="C00000"/>
          <w:sz w:val="26"/>
          <w:szCs w:val="26"/>
        </w:rPr>
        <w:t xml:space="preserve">Side-by-Side Tax Comparisons by Filer Category</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What you pay today.</w:t>
      </w:r>
    </w:p>
    <w:p>
      <w:pPr>
        <w:spacing w:after="200"/>
        <w:jc w:val="center"/>
      </w:pPr>
      <w:r>
        <w:rPr>
          <w:rFonts w:ascii="Georgia" w:cs="Georgia" w:eastAsia="Georgia" w:hAnsi="Georgia"/>
          <w:i/>
          <w:iCs/>
          <w:color w:val="1A1A1A"/>
          <w:sz w:val="24"/>
          <w:szCs w:val="24"/>
        </w:rPr>
        <w:t xml:space="preserve">What you would pay under the platform.</w:t>
      </w:r>
    </w:p>
    <w:p>
      <w:pPr>
        <w:spacing w:after="1200"/>
        <w:jc w:val="center"/>
      </w:pPr>
      <w:r>
        <w:rPr>
          <w:rFonts w:ascii="Georgia" w:cs="Georgia" w:eastAsia="Georgia" w:hAnsi="Georgia"/>
          <w:i/>
          <w:iCs/>
          <w:color w:val="1A1A1A"/>
          <w:sz w:val="24"/>
          <w:szCs w:val="24"/>
        </w:rPr>
        <w:t xml:space="preserve">What each dollar buys in both cases.</w:t>
      </w:r>
    </w:p>
    <w:p>
      <w:pPr>
        <w:spacing w:before="1200"/>
      </w:pPr>
      <w:r>
        <w:t xml:space="preserve"/>
      </w:r>
    </w:p>
    <w:p>
      <w:pPr>
        <w:spacing w:after="80"/>
        <w:jc w:val="center"/>
      </w:pPr>
      <w:r>
        <w:rPr>
          <w:rFonts w:ascii="Georgia" w:cs="Georgia" w:eastAsia="Georgia" w:hAnsi="Georgia"/>
          <w:i/>
          <w:iCs/>
          <w:color w:val="595959"/>
          <w:sz w:val="22"/>
          <w:szCs w:val="22"/>
        </w:rPr>
        <w:t xml:space="preserve">A Reader-Accessible Comparison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v1.8  ·  Created May 2026  ·  Updated May 6, 2026 for v2.19 (cross-references)  ·  Updated May 6, 2026 for v2.26.2 (SIG-4: infrastructure fee section added)  ·  Updated May 6, 2026 for v2.28.3 (WTMFY worked examples refactor: high-earner scenarios recalculated with canonical OPEN-2 graduated structure; canonical OPEN-1 4%+2% healthcare split documented; closes deferred OPEN-1 secondary work)  ·  Updated May 6, 2026 for v2.30.3 (item 81 reverse-reference added in High-Earner Architecture section)  ·  Updated May 10, 2026 for v3.7.16 (Pillar 3 mention reflects v3.7.14 expansion)</w:t>
      </w:r>
    </w:p>
    <w:p>
      <w:pPr>
        <w:jc w:val="center"/>
      </w:pPr>
      <w:r>
        <w:rPr>
          <w:rFonts w:ascii="Georgia" w:cs="Georgia" w:eastAsia="Georgia" w:hAnsi="Georgia"/>
          <w:color w:val="595959"/>
          <w:sz w:val="20"/>
          <w:szCs w:val="20"/>
        </w:rPr>
        <w:t xml:space="preserve">Ohio  ·  2026</w:t>
      </w:r>
    </w:p>
    <w:p>
      <w:r>
        <w:br w:type="page"/>
      </w:r>
    </w:p>
    <w:p>
      <w:pPr>
        <w:spacing w:before="480"/>
        <w:jc w:val="center"/>
      </w:pPr>
      <w:r>
        <w:rPr>
          <w:rFonts w:ascii="Arial" w:cs="Arial" w:eastAsia="Arial" w:hAnsi="Arial"/>
          <w:i/>
          <w:iCs/>
          <w:color w:val="595959"/>
          <w:sz w:val="16"/>
          <w:szCs w:val="16"/>
        </w:rPr>
        <w:t>Sources Baseline. Household-level numerical examples in this document derive from the We The People Calculator (06_We_The_People_Calculator.html), which itself implements 2024 IRS tax brackets, the platform's canonical contribution rates documented in OPEN-1, and the high-earner architecture documented in OPEN-2. See 05_Sources_And_Derivation_Convention.docx for the full sourcing taxonomy.</w:t>
      </w:r>
    </w:p>
    <w:p>
      <w:pPr>
        <w:pStyle w:val="Heading1"/>
        <w:spacing w:after="240" w:before="480"/>
      </w:pPr>
      <w:r>
        <w:rPr>
          <w:rFonts w:ascii="Arial" w:cs="Arial" w:eastAsia="Arial" w:hAnsi="Arial"/>
          <w:b/>
          <w:bCs/>
          <w:color w:val="1F4E78"/>
          <w:sz w:val="36"/>
          <w:szCs w:val="36"/>
        </w:rPr>
        <w:t xml:space="preserve">How to Read This Document</w:t>
      </w:r>
    </w:p>
    <w:p>
      <w:pPr>
        <w:spacing w:after="240" w:line="340"/>
        <w:jc w:val="both"/>
      </w:pPr>
      <w:r>
        <w:rPr>
          <w:rFonts w:ascii="Georgia" w:cs="Georgia" w:eastAsia="Georgia" w:hAnsi="Georgia"/>
          <w:color w:val="1A1A1A"/>
          <w:sz w:val="24"/>
          <w:szCs w:val="24"/>
        </w:rPr>
        <w:t>This document answers the question every reader asks before evaluating major tax reform: what does this actually mean for me? It walks through side-by-side comparisons for the typical filer categories — single without children, single parent with children, married filing jointly without children, married filing jointly with children — across the full income range from $20,000 (working poor) through $2 million (high earners). For each scenario, the document shows what you pay today, what you would pay under the platform, and what each dollar buys in both cases.  (Source baseline: see Sources_And_Derivation_Convention.docx.)</w:t>
      </w:r>
    </w:p>
    <w:p>
      <w:pPr>
        <w:spacing w:after="200" w:line="320"/>
        <w:jc w:val="both"/>
      </w:pPr>
      <w:r>
        <w:rPr>
          <w:rFonts w:ascii="Georgia" w:cs="Georgia" w:eastAsia="Georgia" w:hAnsi="Georgia"/>
          <w:color w:val="1A1A1A"/>
          <w:sz w:val="22"/>
          <w:szCs w:val="22"/>
        </w:rPr>
        <w:t xml:space="preserve">The document deliberately keeps the analysis simple. Real tax situations involve specific deductions, credits, retirement contributions, state taxes, and other variables that this document doesn't capture. The numbers here are representative rather than precise. A reader's actual tax situation will differ from these scenarios in ways that depend on individual circumstances. What this document establishes is the directional pattern: who saves under the platform, who pays slightly more, and what the trade-offs look like across the income distribution.</w:t>
      </w:r>
    </w:p>
    <w:p>
      <w:pPr>
        <w:spacing w:after="200" w:line="320"/>
        <w:jc w:val="both"/>
      </w:pPr>
      <w:r>
        <w:rPr>
          <w:rFonts w:ascii="Georgia" w:cs="Georgia" w:eastAsia="Georgia" w:hAnsi="Georgia"/>
          <w:color w:val="1A1A1A"/>
          <w:sz w:val="22"/>
          <w:szCs w:val="22"/>
        </w:rPr>
        <w:t xml:space="preserve">The most important honest point: this analysis covers only federal taxation and federal-level platform contributions. State income taxes, local taxes, and pillar contributions in their transition years are not addressed. The numbers represent the platform's mature steady-state operation, not the build phase when costs and benefits are still emerging in parallel.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 is policy. Your tax bill is personal. This document translates the policy into your tax bill so you can evaluate whether the platform actually benefits you, given your specific situation.”</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Reading guide: skip to the section that matches your filer category if you want your own answer first. Read the introductory section if you want to understand what the comparisons are showing. Read the caveats section at the end before drawing strong conclusions — the numbers are honest, but they have real limitations.</w:t>
            </w:r>
          </w:p>
        </w:tc>
      </w:tr>
    </w:tbl>
    <w:p>
      <w:r>
        <w:br w:type="page"/>
      </w:r>
    </w:p>
    <w:p>
      <w:pPr>
        <w:pStyle w:val="Heading1"/>
        <w:spacing w:after="240" w:before="480"/>
      </w:pPr>
      <w:r>
        <w:rPr>
          <w:rFonts w:ascii="Arial" w:cs="Arial" w:eastAsia="Arial" w:hAnsi="Arial"/>
          <w:b/>
          <w:bCs/>
          <w:color w:val="1F4E78"/>
          <w:sz w:val="36"/>
          <w:szCs w:val="36"/>
        </w:rPr>
        <w:t xml:space="preserve">What's Being Compared</w:t>
      </w:r>
    </w:p>
    <w:p>
      <w:pPr>
        <w:spacing w:after="240" w:line="340"/>
        <w:jc w:val="both"/>
      </w:pPr>
      <w:r>
        <w:rPr>
          <w:rFonts w:ascii="Georgia" w:cs="Georgia" w:eastAsia="Georgia" w:hAnsi="Georgia"/>
          <w:color w:val="1A1A1A"/>
          <w:sz w:val="24"/>
          <w:szCs w:val="24"/>
        </w:rPr>
        <w:t xml:space="preserve">Tax comparison is more complicated than most people realize. The current system has multiple separate components, and the platform reorganizes some of them while leaving others untouched. Before working through the scenarios, it helps to clarify what each side of the comparison includes.</w:t>
      </w:r>
    </w:p>
    <w:p>
      <w:pPr>
        <w:pStyle w:val="Heading2"/>
        <w:spacing w:after="160" w:before="360"/>
      </w:pPr>
      <w:r>
        <w:rPr>
          <w:rFonts w:ascii="Arial" w:cs="Arial" w:eastAsia="Arial" w:hAnsi="Arial"/>
          <w:b/>
          <w:bCs/>
          <w:color w:val="1F4E78"/>
          <w:sz w:val="28"/>
          <w:szCs w:val="28"/>
        </w:rPr>
        <w:t xml:space="preserve">The Current System Side</w:t>
      </w:r>
    </w:p>
    <w:p>
      <w:pPr>
        <w:spacing w:after="200" w:line="320"/>
        <w:jc w:val="both"/>
      </w:pPr>
      <w:r>
        <w:rPr>
          <w:rFonts w:ascii="Georgia" w:cs="Georgia" w:eastAsia="Georgia" w:hAnsi="Georgia"/>
          <w:color w:val="1A1A1A"/>
          <w:sz w:val="22"/>
          <w:szCs w:val="22"/>
        </w:rPr>
        <w:t xml:space="preserve">Under the current system (2024 tax rules), a working American typically pays:</w:t>
      </w:r>
    </w:p>
    <w:p>
      <w:pPr>
        <w:spacing w:after="200" w:line="320"/>
        <w:jc w:val="both"/>
      </w:pPr>
      <w:r>
        <w:rPr>
          <w:rFonts w:ascii="Georgia" w:cs="Georgia" w:eastAsia="Georgia" w:hAnsi="Georgia"/>
          <w:b/>
          <w:bCs/>
          <w:sz w:val="22"/>
          <w:szCs w:val="22"/>
        </w:rPr>
        <w:t>Federal income tax: Calculated on income above the standard deduction ($14,600 for single filers, $29,200 for married filing jointly), at progressive rates ranging from 10% to 37%. Reduced by Child Tax Credit ($2,000 per qualifying child), and by other deductions and credits depending on circumstances.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 xml:space="preserve">Social Security tax: </w:t>
      </w:r>
      <w:r>
        <w:rPr>
          <w:rFonts w:ascii="Georgia" w:cs="Georgia" w:eastAsia="Georgia" w:hAnsi="Georgia"/>
          <w:color w:val="1A1A1A"/>
          <w:sz w:val="22"/>
          <w:szCs w:val="22"/>
        </w:rPr>
        <w:t xml:space="preserve">6.2% of wages up to the Social Security wage base ($168,600 in 2024). Earnings above the cap are not subject to Social Security tax. The employer pays a matching 6.2% that doesn't appear on the worker's pay statement but is part of the total cost of employment.</w:t>
      </w:r>
    </w:p>
    <w:p>
      <w:pPr>
        <w:spacing w:after="200" w:line="320"/>
        <w:jc w:val="both"/>
      </w:pPr>
      <w:r>
        <w:rPr>
          <w:rFonts w:ascii="Georgia" w:cs="Georgia" w:eastAsia="Georgia" w:hAnsi="Georgia"/>
          <w:b/>
          <w:bCs/>
          <w:sz w:val="22"/>
          <w:szCs w:val="22"/>
        </w:rPr>
        <w:t xml:space="preserve">Medicare tax: </w:t>
      </w:r>
      <w:r>
        <w:rPr>
          <w:rFonts w:ascii="Georgia" w:cs="Georgia" w:eastAsia="Georgia" w:hAnsi="Georgia"/>
          <w:color w:val="1A1A1A"/>
          <w:sz w:val="22"/>
          <w:szCs w:val="22"/>
        </w:rPr>
        <w:t xml:space="preserve">1.45% of all wages with no cap. An additional 0.9% Medicare tax applies to wages above $200,000 for single filers and $250,000 for married filing jointly. Employer pays a matching 1.45% (without the additional 0.9%).</w:t>
      </w:r>
    </w:p>
    <w:p>
      <w:pPr>
        <w:spacing w:after="200" w:line="320"/>
        <w:jc w:val="both"/>
      </w:pPr>
      <w:r>
        <w:rPr>
          <w:rFonts w:ascii="Georgia" w:cs="Georgia" w:eastAsia="Georgia" w:hAnsi="Georgia"/>
          <w:b/>
          <w:bCs/>
          <w:sz w:val="22"/>
          <w:szCs w:val="22"/>
        </w:rPr>
        <w:t xml:space="preserve">Health insurance premium: </w:t>
      </w:r>
      <w:r>
        <w:rPr>
          <w:rFonts w:ascii="Georgia" w:cs="Georgia" w:eastAsia="Georgia" w:hAnsi="Georgia"/>
          <w:color w:val="1A1A1A"/>
          <w:sz w:val="22"/>
          <w:szCs w:val="22"/>
        </w:rPr>
        <w:t xml:space="preserve">For workers with employer-sponsored health insurance, the worker's share of the premium varies but averages approximately $1,400 per year for single coverage and $6,575 per year for family coverage (KFF 2024 employer health benefits survey). This isn't technically a tax, but it's a federally-shaped cost that workers must pay to get healthcare access tied to their employment.</w:t>
      </w:r>
    </w:p>
    <w:p>
      <w:pPr>
        <w:pStyle w:val="Heading2"/>
        <w:spacing w:after="160" w:before="360"/>
      </w:pPr>
      <w:r>
        <w:rPr>
          <w:rFonts w:ascii="Arial" w:cs="Arial" w:eastAsia="Arial" w:hAnsi="Arial"/>
          <w:b/>
          <w:bCs/>
          <w:color w:val="1F4E78"/>
          <w:sz w:val="28"/>
          <w:szCs w:val="28"/>
        </w:rPr>
        <w:t xml:space="preserve">The Platform Side</w:t>
      </w:r>
    </w:p>
    <w:p>
      <w:pPr>
        <w:spacing w:after="200" w:line="320"/>
        <w:jc w:val="both"/>
      </w:pPr>
      <w:r>
        <w:rPr>
          <w:rFonts w:ascii="Georgia" w:cs="Georgia" w:eastAsia="Georgia" w:hAnsi="Georgia"/>
          <w:color w:val="1A1A1A"/>
          <w:sz w:val="22"/>
          <w:szCs w:val="22"/>
        </w:rPr>
        <w:t xml:space="preserve">Under the platform's mature operation (with the wage floor tax architecture in effect), the same worker pays:</w:t>
      </w:r>
    </w:p>
    <w:p>
      <w:pPr>
        <w:spacing w:after="200" w:line="320"/>
        <w:jc w:val="both"/>
      </w:pPr>
      <w:r>
        <w:rPr>
          <w:rFonts w:ascii="Georgia" w:cs="Georgia" w:eastAsia="Georgia" w:hAnsi="Georgia"/>
          <w:b/>
          <w:bCs/>
          <w:sz w:val="22"/>
          <w:szCs w:val="22"/>
        </w:rPr>
        <w:t xml:space="preserve">Federal income tax: </w:t>
      </w:r>
      <w:r>
        <w:rPr>
          <w:rFonts w:ascii="Georgia" w:cs="Georgia" w:eastAsia="Georgia" w:hAnsi="Georgia"/>
          <w:color w:val="1A1A1A"/>
          <w:sz w:val="22"/>
          <w:szCs w:val="22"/>
        </w:rPr>
        <w:t xml:space="preserve">Calculated on income above the worker's occupational wage floor exemption (rather than the flat standard deduction). Full exemption applies up to 1.5x the wage floor; the exemption phases out from 1.5x to 2.5x the floor; income above 2.5x the floor receives no exemption. Married filing jointly filers receive a 1.5x larger exemption to reflect joint filing. Same progressive rates apply to taxable income.</w:t>
      </w:r>
    </w:p>
    <w:p>
      <w:pPr>
        <w:spacing w:after="200" w:line="320"/>
        <w:jc w:val="both"/>
      </w:pPr>
      <w:r>
        <w:rPr>
          <w:rFonts w:ascii="Georgia" w:cs="Georgia" w:eastAsia="Georgia" w:hAnsi="Georgia"/>
          <w:b/>
          <w:bCs/>
          <w:sz w:val="22"/>
          <w:szCs w:val="22"/>
        </w:rPr>
        <w:t xml:space="preserve">Higher-earner surcharges: </w:t>
      </w:r>
      <w:r>
        <w:rPr>
          <w:rFonts w:ascii="Georgia" w:cs="Georgia" w:eastAsia="Georgia" w:hAnsi="Georgia"/>
          <w:color w:val="1A1A1A"/>
          <w:sz w:val="22"/>
          <w:szCs w:val="22"/>
        </w:rPr>
        <w:t xml:space="preserve">Additional 5% on income above $250,000 (single) or $500,000 (MFJ). Additional 10% on income above $500,000 (single) or $1M (MFJ). Additional 15% on income above $1M (single) or $2M (MFJ). These surcharges replace some of the revenue lost to the wage floor exemption.</w:t>
      </w:r>
    </w:p>
    <w:p>
      <w:pPr>
        <w:spacing w:after="200" w:line="320"/>
        <w:jc w:val="both"/>
      </w:pPr>
      <w:r>
        <w:rPr>
          <w:rFonts w:ascii="Georgia" w:cs="Georgia" w:eastAsia="Georgia" w:hAnsi="Georgia"/>
          <w:b/>
          <w:bCs/>
          <w:sz w:val="22"/>
          <w:szCs w:val="22"/>
        </w:rPr>
        <w:t>Platform pillar contributions, shown both as employee share (paystub-visible) and employer share (paid by firm on worker's behalf), with the combined rate in parentheses: Universal Healthcare 2% employee + 4% employer (6% combined); Universal Childcare 0.5% employee + 0.8% employer (1.3% combined); Universal Mental Health 0.3% employee + 0.5% employer (0.8% combined); Universal Paid Family Time 0.15% employee + 0.25% employer (0.4% combined); Universal Long-Term Care 0.4% employee + 0.6% employer (1.0% combined). Employee-side total: 3.35% of wages up to the SS cap. Employer-side total: 6.15% of wages. Combined economic burden: 9.5% of wages — but this replaces private health insurance premiums, childcare costs, mental health out-of-pocket, parental leave income loss, and long-term care insurance for the household, so the household's net economic position is generally improved despite the higher payroll total.</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FICA (Federal Insurance Contributions Act) replacement: At platform maturity, Social Security and Medicare are replaced by Sovereign Fund contribution and universal healthcare access. The 6.2% + 1.45% = 7.65% FICA is no longer paid as a separate tax. The platform's equivalent funding comes from existing Sovereign Fund accumulation and the healthcare contribution. (During the transition years, this transition happens gradually — the comparison here represents the mature state.)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 xml:space="preserve">Health insurance premium: </w:t>
      </w:r>
      <w:r>
        <w:rPr>
          <w:rFonts w:ascii="Georgia" w:cs="Georgia" w:eastAsia="Georgia" w:hAnsi="Georgia"/>
          <w:color w:val="1A1A1A"/>
          <w:sz w:val="22"/>
          <w:szCs w:val="22"/>
        </w:rPr>
        <w:t xml:space="preserve">Zero. Healthcare is universal under the platform; no separate worker premium is paid because there's no separate insurance plan to subscribe to.</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The total federal cost under the platform is the sum of: (1) federal income tax with floor exemption, (2) high-earner surcharges if applicable, (3) the 4.8% pillar contributions. The total federal cost under the current system is the sum of: (1) federal income tax with standard deduction, (2) 7.65% FICA, (3) average health insurance premium. These are what the comparison tables show.</w:t>
            </w:r>
          </w:p>
        </w:tc>
      </w:tr>
    </w:tbl>
    <w:p>
      <w:r>
        <w:br w:type="page"/>
      </w:r>
    </w:p>
    <w:p>
      <w:pPr>
        <w:pStyle w:val="Heading1"/>
        <w:spacing w:after="240" w:before="480"/>
      </w:pPr>
      <w:r>
        <w:rPr>
          <w:rFonts w:ascii="Arial" w:cs="Arial" w:eastAsia="Arial" w:hAnsi="Arial"/>
          <w:b/>
          <w:bCs/>
          <w:color w:val="1F4E78"/>
          <w:sz w:val="36"/>
          <w:szCs w:val="36"/>
        </w:rPr>
        <w:t xml:space="preserve">Summary Comparison Across All Scenarios</w:t>
      </w:r>
    </w:p>
    <w:p>
      <w:pPr>
        <w:spacing w:after="240" w:line="340"/>
        <w:jc w:val="both"/>
      </w:pPr>
      <w:r>
        <w:rPr>
          <w:rFonts w:ascii="Georgia" w:cs="Georgia" w:eastAsia="Georgia" w:hAnsi="Georgia"/>
          <w:color w:val="1A1A1A"/>
          <w:sz w:val="24"/>
          <w:szCs w:val="24"/>
        </w:rPr>
        <w:t xml:space="preserve">The table below shows the bottom-line comparison for every scenario covered in this document. The detailed breakdown for each scenario follows in subsequent sections.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1500"/>
        <w:gridCol w:w="15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Scenario</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Current</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Platform</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Difference</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 Change</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no kids, $20K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$4,605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$975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+$3,630</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−79%</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no kids, $35K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$7,429</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$1,995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+$5,434</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−73%</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no kids, $50K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$10,376</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$3,215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+$7,161</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−69%</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no kids, $75K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$16,613</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$6,383</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+$10,230</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−62%</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no kids, $100K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$24,026</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$10,868</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+$13,158</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−55%</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no kids, $150K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$39,549</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$30,257</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+$9,292</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−23%</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no kids, $250K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$70,078</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$65,983</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+$4,095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no kids, $500K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$163,203</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$165,983</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−$2,780</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no kids, $1M</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$357,474</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$398,796</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−$41,322</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+12%</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no kids, $2M</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$750,974</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$918,796</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−$167,822</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+22%</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parent, 2 kids, $20K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$7,165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$975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+$6,190</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−86%</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parent, 2 kids, $35K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$8,313</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$1,695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+$6,618</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−80%</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parent, 2 kids, $50K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$9,460</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$2,415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+$7,045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−74%</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parent, 2 kids, $75K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$13,413</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$3,615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+$9,798</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−73%</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parent, 2 kids, $100K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$19,826</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$5,284</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+$14,542</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−73%</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parent, 2 kids, $250K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$67,648</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$60,290</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+$7,358</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Single parent, 2 kids, $500K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$162,055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$160,290</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+$1,765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no kids, $35K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$10,967</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$1,695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+$9,272</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−85%</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no kids, $50K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$13,615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$2,415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+$11,200</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−82%</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no kids, $75K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$18,479</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$3,615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+$14,864</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−80%</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no kids, $100K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$23,392</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$7,351</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+$16,041</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−69%</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no kids, $150K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$35,867</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$22,071</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+$13,796</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−38%</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no kids, $250K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$60,865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$54,193</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+$6,672</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no kids, $500K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$133,692</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$123,857</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+$9,835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no kids, $1M</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$324,735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$329,233</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−$4,498</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no kids, $2M</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$718,235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$799,233</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−$80,998</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2 kids, $35K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$10,387</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$1,695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+$8,692</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−84%</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2 kids, $50K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$11,535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$2,415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+$9,120</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−79%</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2 kids, $75K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$14,479</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$3,615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+$10,864</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−75%</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2 kids, $100K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$19,392</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$4,815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+$14,577</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−75%</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2 kids, $150K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$31,867</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$18,071</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+$13,796</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−43%</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2 kids, $250K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$56,865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$50,193</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+$6,672</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−12%</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2 kids, $500K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$133,692</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$119,857</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+$13,835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2 kids, $1M</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$324,735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$325,233</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−$498</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2 kids, $2M</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$718,235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$795,233</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−$76,998</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4 kids, $50K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$11,535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$2,415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+$9,120</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−79%</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4 kids, $75K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$13,447</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$3,615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+$9,832</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−73%</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4 kids, $100K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$15,392</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$4,815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+$10,577</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−69%</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4 kids, $150K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$27,867</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$14,071</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+$13,796</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−50%</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4 kids, $250K</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$52,865</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$46,193</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+$6,672</w:t>
            </w:r>
          </w:p>
        </w:tc>
        <w:tc>
          <w:tcPr>
            <w:tcW w:type="dxa" w:w="1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MFJ, 4 kids, $500K</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$130,692</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$115,857</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+$14,835</w:t>
            </w:r>
          </w:p>
        </w:tc>
        <w:tc>
          <w:tcPr>
            <w:tcW w:type="dxa" w:w="1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w:t>
            </w:r>
          </w:p>
        </w:tc>
      </w:tr>
    </w:tbl>
    <w:p>
      <w:pPr>
        <w:spacing w:after="300"/>
      </w:pPr>
      <w:r>
        <w:t xml:space="preserve"/>
      </w:r>
    </w:p>
    <w:p>
      <w:pPr>
        <w:spacing w:after="200" w:line="320"/>
        <w:jc w:val="both"/>
      </w:pPr>
      <w:r>
        <w:rPr>
          <w:rFonts w:ascii="Georgia" w:cs="Georgia" w:eastAsia="Georgia" w:hAnsi="Georgia"/>
          <w:color w:val="1A1A1A"/>
          <w:sz w:val="22"/>
          <w:szCs w:val="22"/>
        </w:rPr>
        <w:t xml:space="preserve">Several patterns emerge from this expanded summary. First, the platform produces savings across nearly the entire income range up through approximately $500,000-$1,000,000, depending on filer category. Working-class households (under $50K) see savings of 65-88%. Middle-class households ($50K-$150K) see savings of 40-79%. Upper-middle-class households ($200K-$500K) see modest savings of 4-15%. Households earning above $1 million see real but moderate increases — typically 1-23% more than they pay today, with the magnitude depending on filer category and income level.</w:t>
      </w:r>
    </w:p>
    <w:p>
      <w:pPr>
        <w:spacing w:after="200" w:line="320"/>
        <w:jc w:val="both"/>
      </w:pPr>
      <w:r>
        <w:rPr>
          <w:rFonts w:ascii="Georgia" w:cs="Georgia" w:eastAsia="Georgia" w:hAnsi="Georgia"/>
          <w:color w:val="1A1A1A"/>
          <w:sz w:val="22"/>
          <w:szCs w:val="22"/>
        </w:rPr>
        <w:t xml:space="preserve">Second, the savings reach their peak in absolute dollar terms for middle-class families with children. A married couple with two kids earning $100K saves over $13,400 annually — the largest dollar savings of any scenario in the table. Single parents and married couples without children also see substantial savings in the same income range. The pattern reflects the platform's design priority: directing the largest benefits toward working families who currently bear disproportionate burden from the combination of healthcare premiums, FICA taxes, and federal income tax.</w:t>
      </w:r>
    </w:p>
    <w:p>
      <w:pPr>
        <w:spacing w:after="200" w:line="320"/>
        <w:jc w:val="both"/>
      </w:pPr>
      <w:r>
        <w:rPr>
          <w:rFonts w:ascii="Georgia" w:cs="Georgia" w:eastAsia="Georgia" w:hAnsi="Georgia"/>
          <w:color w:val="1A1A1A"/>
          <w:sz w:val="22"/>
          <w:szCs w:val="22"/>
        </w:rPr>
        <w:t>Third, the high-earner effects are real but moderate by comparison to peer-nation tax structures. A single earner at $1 million pays approximately $42,000 more under the platform than under the current system — a 12% increase. A married couple at $1 million sees roughly even results. Households earning $2 million pay 11-23% more depending on filing status. These are meaningful increases, but they represent a small fraction of the recipients' incomes and bring American high-earner taxation closer to peer-nation levels rather than to extreme rates.  (Source baseline: see Sources_And_Derivation_Convention.docx.)</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“Working-class and middle-class families save substantially. Upper-middle-class families save moderately. High earners pay slightly more. The platform redistributes burden away from those who can least afford it without producing transformative tax increases on those who can.”</w:t>
            </w:r>
          </w:p>
        </w:tc>
      </w:tr>
    </w:tbl>
    <w:p>
      <w:r>
        <w:br w:type="page"/>
      </w:r>
    </w:p>
    <w:p>
      <w:pPr>
        <w:pStyle w:val="Heading1"/>
        <w:spacing w:after="240" w:before="480"/>
      </w:pPr>
      <w:r>
        <w:rPr>
          <w:rFonts w:ascii="Arial" w:cs="Arial" w:eastAsia="Arial" w:hAnsi="Arial"/>
          <w:b/>
          <w:bCs/>
          <w:color w:val="1F4E78"/>
          <w:sz w:val="36"/>
          <w:szCs w:val="36"/>
        </w:rPr>
        <w:t xml:space="preserve">Single Filer, No Children</w:t>
      </w:r>
    </w:p>
    <w:p>
      <w:pPr>
        <w:spacing w:after="240" w:line="340"/>
        <w:jc w:val="both"/>
      </w:pPr>
      <w:r>
        <w:rPr>
          <w:rFonts w:ascii="Georgia" w:cs="Georgia" w:eastAsia="Georgia" w:hAnsi="Georgia"/>
          <w:color w:val="1A1A1A"/>
          <w:sz w:val="24"/>
          <w:szCs w:val="24"/>
        </w:rPr>
        <w:t>The simplest scenario: an unmarried adult with no dependents. The wage floor exemption applies at the standard 1.0x rate (married filers receive 1.5x); standard deduction in the current system is the smallest ($14,600); no Child Tax Credit applies.</w:t>
      </w:r>
    </w:p>
    <w:p>
      <w:pPr>
        <w:pStyle w:val="Heading2"/>
        <w:spacing w:after="160" w:before="360"/>
      </w:pPr>
      <w:r>
        <w:rPr>
          <w:rFonts w:ascii="Arial" w:cs="Arial" w:eastAsia="Arial" w:hAnsi="Arial"/>
          <w:b/>
          <w:bCs/>
          <w:color w:val="1F4E78"/>
          <w:sz w:val="28"/>
          <w:szCs w:val="28"/>
        </w:rPr>
        <w:t xml:space="preserve">Detailed Breakdown: $50,000 Single Earner</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500"/>
      </w:tblGrid>
      <w:tr>
        <w:tc>
          <w:tcPr>
            <w:tcW w:type="dxa" w:w="40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Item</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Current</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Platform</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Gross income</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$50,000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$50,000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Deduction / Floor exemption</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−$14,612</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−$42,000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Taxable income</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$35,400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$8,000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Federal income tax</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$4,016</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$800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Social Security (6.2%)</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$3,100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[replaced]</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Medicare (1.45%)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$725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[absorbed]</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employee share (2%)</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employee share (0.5%)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$250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employee share (0.3%)</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employer share (4%)</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combined (6%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employer share (0.8%)</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combined (1.3%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$650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employer share (0.5%)</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$250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combined (0.8%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Health insurance premium</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$1,400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Broadband subscription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Tax preparation (avg, half of households)</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Identity theft / fraud expected loss</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TOTAL (three values for Platform column reflect employee/employer/combined economic burden per Option E; see v3.7.23)</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bCs/>
                <w:color w:val="1A1A1A"/>
                <w:sz w:val="20"/>
                <w:szCs w:val="20"/>
              </w:rPr>
              <w:t>Employee-side: $10,376</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bCs/>
                <w:color w:val="1A1A1A"/>
                <w:sz w:val="20"/>
                <w:szCs w:val="20"/>
              </w:rPr>
              <w:t>Employee-side: $2,215</w:t>
              <w:br/>
              <w:t>Employer-side (firm pays): $2,650</w:t>
              <w:br/>
              <w:t>Combined: $4,865</w:t>
            </w:r>
          </w:p>
        </w:tc>
      </w:tr>
    </w:tbl>
    <w:p>
      <w:pPr>
        <w:spacing w:after="300"/>
      </w:pPr>
      <w:r>
        <w:t xml:space="preserve"/>
      </w:r>
    </w:p>
    <w:p>
      <w:pPr>
        <w:spacing w:after="200" w:line="320"/>
        <w:jc w:val="both"/>
      </w:pPr>
      <w:r>
        <w:rPr>
          <w:rFonts w:ascii="Georgia" w:cs="Georgia" w:eastAsia="Georgia" w:hAnsi="Georgia"/>
          <w:color w:val="1A1A1A"/>
          <w:sz w:val="22"/>
          <w:szCs w:val="22"/>
        </w:rPr>
        <w:t>Annual savings: approximately $6,041. That's a 65% reduction in federal cost. The savings come from three sources: a larger exemption from federal income tax ($42,000 vs $14,600), elimination of FICA taxes (replaced by lower-rate platform contributions), and elimination of the health insurance premium (universal coverage).</w:t>
      </w:r>
    </w:p>
    <w:p>
      <w:pPr>
        <w:pStyle w:val="Heading2"/>
        <w:spacing w:after="160" w:before="360"/>
      </w:pPr>
      <w:r>
        <w:rPr>
          <w:rFonts w:ascii="Arial" w:cs="Arial" w:eastAsia="Arial" w:hAnsi="Arial"/>
          <w:b/>
          <w:bCs/>
          <w:color w:val="1F4E78"/>
          <w:sz w:val="28"/>
          <w:szCs w:val="28"/>
        </w:rPr>
        <w:t xml:space="preserve">How the Pattern Scales: Single Earners Across Income Levels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50"/>
        <w:gridCol w:w="2250"/>
        <w:gridCol w:w="2250"/>
        <w:gridCol w:w="2250"/>
      </w:tblGrid>
      <w:tr>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Income</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Current Total Cost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Platform Total Cost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Annual Savings</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$4,605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$975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+$3,630</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$25,000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$5,487</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$1,215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+$4,272</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$35,000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$7,429</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$1,995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+$5,434</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$10,376</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+$7,161</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$75,000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$16,613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$6,383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+$10,230</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$24,026</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$10,868</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+$13,158</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$39,549</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$30,257</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+$9,291</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$53,427</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$49,794</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+$3,632</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$70,078</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$65,983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+$4,095</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$107,178</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$105,983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+$1,195</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$500,000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$163,203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$165,983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−$2,780</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$750,000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$259,099</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$281,296</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−$22,197</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$1,000,000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$357,474</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$398,796</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−$41,322</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$1,500,000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$554,224</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$658,796</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−$104,572</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$750,974</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$918,796</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−$167,822</w:t>
            </w:r>
          </w:p>
        </w:tc>
      </w:tr>
    </w:tbl>
    <w:p>
      <w:pPr>
        <w:spacing w:after="300"/>
      </w:pPr>
      <w:r>
        <w:t xml:space="preserve"/>
      </w:r>
    </w:p>
    <w:p>
      <w:pPr>
        <w:spacing w:after="200" w:line="320"/>
        <w:jc w:val="both"/>
      </w:pPr>
      <w:r>
        <w:rPr>
          <w:rFonts w:ascii="Georgia" w:cs="Georgia" w:eastAsia="Georgia" w:hAnsi="Georgia"/>
          <w:color w:val="1A1A1A"/>
          <w:sz w:val="22"/>
          <w:szCs w:val="22"/>
        </w:rPr>
        <w:t xml:space="preserve">The pattern across the full income range is clear: substantial savings at all income levels up through approximately $350,000, with the savings amount peaking around $100,000 ($12,038 annual savings, or 53% reduction). Above $350,000, the high-earner surcharge begins to substantially offset the wage floor exemption benefit, and at $500,000 the surcharge slightly exceeds the savings. Single high earners pay modestly more under the platform: $3,900 more at $500K, $42,442 more at $1M, and $168,942 more at $2M. The progression reflects the platform's design priority — working-class and middle-class workers benefit substantially while high earners contribute proportionally more.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A single earner making $100,000 saves about $12,038 per year under the platform. That's almost $1,003 per month back in their pocket, while also gaining universal healthcare coverage that the current system requires them to either purchase separately or accept job-lock to maintain.</w:t>
            </w:r>
          </w:p>
        </w:tc>
      </w:tr>
    </w:tbl>
    <w:p>
      <w:r>
        <w:br w:type="page"/>
      </w:r>
    </w:p>
    <w:p>
      <w:pPr>
        <w:pStyle w:val="Heading1"/>
        <w:spacing w:after="240" w:before="480"/>
      </w:pPr>
      <w:r>
        <w:rPr>
          <w:rFonts w:ascii="Arial" w:cs="Arial" w:eastAsia="Arial" w:hAnsi="Arial"/>
          <w:b/>
          <w:bCs/>
          <w:color w:val="1F4E78"/>
          <w:sz w:val="36"/>
          <w:szCs w:val="36"/>
        </w:rPr>
        <w:t xml:space="preserve">Single Parent (Head of Household)</w:t>
      </w:r>
    </w:p>
    <w:p>
      <w:pPr>
        <w:spacing w:after="240" w:line="340"/>
        <w:jc w:val="both"/>
      </w:pPr>
      <w:r>
        <w:rPr>
          <w:rFonts w:ascii="Georgia" w:cs="Georgia" w:eastAsia="Georgia" w:hAnsi="Georgia"/>
          <w:color w:val="1A1A1A"/>
          <w:sz w:val="24"/>
          <w:szCs w:val="24"/>
        </w:rPr>
        <w:t xml:space="preserve">Single parents file as Head of Household, with a larger standard deduction ($21,900) than single filers and access to the Child Tax Credit ($2,000 per child). They also typically face higher healthcare premiums than single filers because they cover their children. The wage floor exemption under the platform applies at 1.2x the base floor to reflect the additional household responsibilities.</w:t>
      </w:r>
    </w:p>
    <w:p>
      <w:pPr>
        <w:pStyle w:val="Heading2"/>
        <w:spacing w:after="160" w:before="360"/>
      </w:pPr>
      <w:r>
        <w:rPr>
          <w:rFonts w:ascii="Arial" w:cs="Arial" w:eastAsia="Arial" w:hAnsi="Arial"/>
          <w:b/>
          <w:bCs/>
          <w:color w:val="1F4E78"/>
          <w:sz w:val="28"/>
          <w:szCs w:val="28"/>
        </w:rPr>
        <w:t xml:space="preserve">Detailed Breakdown: $50,000 Single Parent with 2 Kids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500"/>
      </w:tblGrid>
      <w:tr>
        <w:tc>
          <w:tcPr>
            <w:tcW w:type="dxa" w:w="40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Item</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Current</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Platform</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Gross income</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$50,000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$50,000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Deduction / Floor exemption</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−$21,900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−$50,400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Taxable income</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$28,100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Federal income tax (after $4,000 CTC)</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Social Security (6.2%)</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$3,100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[replaced]</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Medicare (1.45%)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$725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[absorbed]</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employee share (2%)</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employee share (0.5%)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$250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employee share (0.3%)</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employer share (4%)</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combined (6%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employer share (0.8%)</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combined (1.3%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$650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employer share (0.5%)</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$250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combined (0.8%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Health insurance premium (worker+kids)</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$4,500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Broadband subscription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Tax preparation (avg, half of households)</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Identity theft / fraud expected loss</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TOTAL (three values for Platform column reflect employee/employer/combined economic burden per Option E; see v3.7.23)</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bCs/>
                <w:color w:val="1A1A1A"/>
                <w:sz w:val="20"/>
                <w:szCs w:val="20"/>
              </w:rPr>
              <w:t>Employee-side: $9,460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bCs/>
                <w:color w:val="1A1A1A"/>
                <w:sz w:val="20"/>
                <w:szCs w:val="20"/>
              </w:rPr>
              <w:t>Employee-side: $1,415</w:t>
              <w:br/>
              <w:t>Employer-side (firm pays): $2,650</w:t>
              <w:br/>
              <w:t>Combined: $4,065</w:t>
            </w:r>
          </w:p>
        </w:tc>
      </w:tr>
    </w:tbl>
    <w:p>
      <w:pPr>
        <w:spacing w:after="300"/>
      </w:pPr>
      <w:r>
        <w:t xml:space="preserve"/>
      </w:r>
    </w:p>
    <w:p>
      <w:pPr>
        <w:spacing w:after="200" w:line="320"/>
        <w:jc w:val="both"/>
      </w:pPr>
      <w:r>
        <w:rPr>
          <w:rFonts w:ascii="Georgia" w:cs="Georgia" w:eastAsia="Georgia" w:hAnsi="Georgia"/>
          <w:color w:val="1A1A1A"/>
          <w:sz w:val="22"/>
          <w:szCs w:val="22"/>
        </w:rPr>
        <w:t xml:space="preserve">Annual savings: approximately $5,925. That's a 71% reduction. Single parents see some of the largest savings under the platform because they currently bear disproportionate burden from the combination of FICA taxes (they pay the same percentage as anyone else), health insurance premiums (higher for family coverage), and childcare costs (a separate category not addressed in this comparison but enormous in current life budgets).</w:t>
      </w:r>
    </w:p>
    <w:p>
      <w:pPr>
        <w:pStyle w:val="Heading2"/>
        <w:spacing w:after="160" w:before="360"/>
      </w:pPr>
      <w:r>
        <w:rPr>
          <w:rFonts w:ascii="Arial" w:cs="Arial" w:eastAsia="Arial" w:hAnsi="Arial"/>
          <w:b/>
          <w:bCs/>
          <w:color w:val="1F4E78"/>
          <w:sz w:val="28"/>
          <w:szCs w:val="28"/>
        </w:rPr>
        <w:t xml:space="preserve">Single Parents Across Income Levels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50"/>
        <w:gridCol w:w="2250"/>
        <w:gridCol w:w="2250"/>
        <w:gridCol w:w="2250"/>
      </w:tblGrid>
      <w:tr>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Income</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Current Total Cost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Platform Total Cost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Annual Savings</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$7,165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$975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+$6,190</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$25,000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$7,547</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$1,215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+$6,332</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$35,000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$8,313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$1,695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+$6,618</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$9,460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$2,415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+$7,045</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$75,000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$13,413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$3,615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+$9,798</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$19,826</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$5,284</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+$14,542</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$35,203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$23,364</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+$11,839</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$49,081</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$44,101</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+$4,980</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$67,648</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$60,290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+$7,358</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$106,030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$100,290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+$5,740</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$500,000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$162,055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$160,290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+$1,765</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$750,000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$257,805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$275,603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−$17,798</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$1,000,000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$356,180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$393,103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−$36,923</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$1,500,000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$552,930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$653,103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−$100,173</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$749,680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$913,103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−$163,423</w:t>
            </w:r>
          </w:p>
        </w:tc>
      </w:tr>
    </w:tbl>
    <w:p>
      <w:pPr>
        <w:spacing w:after="300"/>
      </w:pPr>
      <w:r>
        <w:t xml:space="preserve"/>
      </w:r>
    </w:p>
    <w:p>
      <w:pPr>
        <w:spacing w:after="200" w:line="320"/>
        <w:jc w:val="both"/>
      </w:pPr>
      <w:r>
        <w:rPr>
          <w:rFonts w:ascii="Georgia" w:cs="Georgia" w:eastAsia="Georgia" w:hAnsi="Georgia"/>
          <w:color w:val="1A1A1A"/>
          <w:sz w:val="22"/>
          <w:szCs w:val="22"/>
        </w:rPr>
        <w:t xml:space="preserve">The savings for single parents are extraordinary across the working-class and middle-class range. At $100,000, a single parent saves over $13,400 per year, more than $1,100 per month. The savings remain positive even at $500,000 (modest, but still favorable to the parent). The platform's universal childcare access (separate from these tax savings) provides additional value not reflected in the table — average childcare costs in the current system run $10,000-$20,000 per year per child, money that the platform's $10/day cap effectively eliminates. High-income single parents (above $750K) see meaningful but moderate increases, reflecting the platform's broader pattern of asking high earners to contribute more.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Single parents are among the platform's largest beneficiaries. Tax savings of 60-77% combined with universal childcare access transform the economics of single-parent households. A single parent earning $50,000 today struggling to cover childcare and healthcare and household expenses becomes, under the platform, a single parent with substantial slack in the household budget for the first time.</w:t>
            </w:r>
          </w:p>
        </w:tc>
      </w:tr>
    </w:tbl>
    <w:p>
      <w:r>
        <w:br w:type="page"/>
      </w:r>
    </w:p>
    <w:p>
      <w:pPr>
        <w:pStyle w:val="Heading1"/>
        <w:spacing w:after="240" w:before="480"/>
      </w:pPr>
      <w:r>
        <w:rPr>
          <w:rFonts w:ascii="Arial" w:cs="Arial" w:eastAsia="Arial" w:hAnsi="Arial"/>
          <w:b/>
          <w:bCs/>
          <w:color w:val="1F4E78"/>
          <w:sz w:val="36"/>
          <w:szCs w:val="36"/>
        </w:rPr>
        <w:t xml:space="preserve">Married Filing Jointly, No Children</w:t>
      </w:r>
    </w:p>
    <w:p>
      <w:pPr>
        <w:spacing w:after="240" w:line="340"/>
        <w:jc w:val="both"/>
      </w:pPr>
      <w:r>
        <w:rPr>
          <w:rFonts w:ascii="Georgia" w:cs="Georgia" w:eastAsia="Georgia" w:hAnsi="Georgia"/>
          <w:color w:val="1A1A1A"/>
          <w:sz w:val="24"/>
          <w:szCs w:val="24"/>
        </w:rPr>
        <w:t xml:space="preserve">Married couples without children file jointly with a larger standard deduction ($29,200) and progressive brackets that effectively double the bracket thresholds compared to single filers. Under the platform, the wage floor exemption is multiplied by 1.5 to reflect joint filing. They face family-coverage health insurance premiums (averaging $6,575 per year for the worker share) under the current system.</w:t>
      </w:r>
    </w:p>
    <w:p>
      <w:pPr>
        <w:pStyle w:val="Heading2"/>
        <w:spacing w:after="160" w:before="360"/>
      </w:pPr>
      <w:r>
        <w:rPr>
          <w:rFonts w:ascii="Arial" w:cs="Arial" w:eastAsia="Arial" w:hAnsi="Arial"/>
          <w:b/>
          <w:bCs/>
          <w:color w:val="1F4E78"/>
          <w:sz w:val="28"/>
          <w:szCs w:val="28"/>
        </w:rPr>
        <w:t xml:space="preserve">Detailed Breakdown: $100,000 MFJ No Kids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500"/>
      </w:tblGrid>
      <w:tr>
        <w:tc>
          <w:tcPr>
            <w:tcW w:type="dxa" w:w="40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Item</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Current</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Platform</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Gross income</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$100,000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$100,000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Deduction / Floor exemption</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−$29,200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−$75,000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Taxable income</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$70,800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$25,000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Federal income tax</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$8,032</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$2,536</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Social Security (6.2%)</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$6,200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[replaced]</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Medicare (1.45%)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$1,450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[absorbed]</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employee share (2%)</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employee share (0.5%)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employee share (0.3%)</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employer share (4%)</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combined (6%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employer share (0.8%)</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combined (1.3%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employer share (0.5%)</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combined (0.8%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Health insurance premium (family)</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$6,575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Broadband subscription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Tax preparation (avg, half of households)</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Identity theft / fraud expected loss</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TOTAL (three values for Platform column reflect employee/employer/combined economic burden per Option E; see v3.7.23)</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bCs/>
                <w:color w:val="1A1A1A"/>
                <w:sz w:val="20"/>
                <w:szCs w:val="20"/>
              </w:rPr>
              <w:t>Employee-side: $23,392</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bCs/>
                <w:color w:val="1A1A1A"/>
                <w:sz w:val="20"/>
                <w:szCs w:val="20"/>
              </w:rPr>
              <w:t>Employee-side: $5,351</w:t>
              <w:br/>
              <w:t>Employer-side (firm pays): $5,300</w:t>
              <w:br/>
              <w:t>Combined: $10,651</w:t>
            </w:r>
          </w:p>
        </w:tc>
      </w:tr>
    </w:tbl>
    <w:p>
      <w:pPr>
        <w:spacing w:after="300"/>
      </w:pPr>
      <w:r>
        <w:t xml:space="preserve"/>
      </w:r>
    </w:p>
    <w:p>
      <w:pPr>
        <w:spacing w:after="200" w:line="320"/>
        <w:jc w:val="both"/>
      </w:pPr>
      <w:r>
        <w:rPr>
          <w:rFonts w:ascii="Georgia" w:cs="Georgia" w:eastAsia="Georgia" w:hAnsi="Georgia"/>
          <w:color w:val="1A1A1A"/>
          <w:sz w:val="22"/>
          <w:szCs w:val="22"/>
        </w:rPr>
        <w:t>Annual savings: approximately $14,921. That's a 67% reduction. MFJ couples without children see particularly large savings because their family-coverage health insurance premiums under the current system are substantial. The platform replaces those premiums with the platform's healthcare contribution (2% employee + 4% employer = 6% combined), which produces a much smaller cost relative to the value received.</w:t>
      </w:r>
    </w:p>
    <w:p>
      <w:pPr>
        <w:pStyle w:val="Heading2"/>
        <w:spacing w:after="160" w:before="360"/>
      </w:pPr>
      <w:r>
        <w:rPr>
          <w:rFonts w:ascii="Arial" w:cs="Arial" w:eastAsia="Arial" w:hAnsi="Arial"/>
          <w:b/>
          <w:bCs/>
          <w:color w:val="1F4E78"/>
          <w:sz w:val="28"/>
          <w:szCs w:val="28"/>
        </w:rPr>
        <w:t xml:space="preserve">MFJ Across Income Levels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50"/>
        <w:gridCol w:w="2250"/>
        <w:gridCol w:w="2250"/>
        <w:gridCol w:w="2250"/>
      </w:tblGrid>
      <w:tr>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Income</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Current Total Cost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Platform Total Cost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Annual Savings</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$35,000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$10,967</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$1,695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+$9,272</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$13,615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$2,415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+$11,200</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$75,000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$18,479</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$3,615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+$14,864</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$23,392</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$7,351</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+$16,041</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$35,867</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$22,071</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+$13,796</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$48,745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$42,214</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+$6,531</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$60,865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$54,193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+$6,672</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$87,215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$78,193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+$9,022</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$500,000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$133,692</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$123,857</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+$9,835</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$750,000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$226,568</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$224,233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+$2,334</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$1,000,000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$324,735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$329,233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−$4,499</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$1,500,000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$521,485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$564,233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−$42,749</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$718,235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$799,233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−$80,999</w:t>
            </w:r>
          </w:p>
        </w:tc>
      </w:tr>
    </w:tbl>
    <w:p>
      <w:pPr>
        <w:spacing w:after="300"/>
      </w:pPr>
      <w:r>
        <w:t xml:space="preserve"/>
      </w:r>
    </w:p>
    <w:p>
      <w:pPr>
        <w:spacing w:after="200" w:line="320"/>
        <w:jc w:val="both"/>
      </w:pPr>
      <w:r>
        <w:rPr>
          <w:rFonts w:ascii="Georgia" w:cs="Georgia" w:eastAsia="Georgia" w:hAnsi="Georgia"/>
          <w:color w:val="1A1A1A"/>
          <w:sz w:val="22"/>
          <w:szCs w:val="22"/>
        </w:rPr>
        <w:t xml:space="preserve">Married couples without children see substantial savings across most of the income range. The savings peak at $100,000 ($14,921 annually — the largest dollar savings of any scenario) and remain meaningful through $500,000. At $750,000 the savings are roughly even with current costs. Above $1 million, MFJ couples see modest tax increases ($5,619 at $1M, $82,119 at $2M). The MFJ structure protects upper-middle-income couples better than upper-middle-income single earners because the high-earner surcharge thresholds are doubled for joint filers.</w:t>
      </w:r>
    </w:p>
    <w:p>
      <w:r>
        <w:br w:type="page"/>
      </w:r>
    </w:p>
    <w:p>
      <w:pPr>
        <w:pStyle w:val="Heading1"/>
        <w:spacing w:after="240" w:before="480"/>
      </w:pPr>
      <w:r>
        <w:rPr>
          <w:rFonts w:ascii="Arial" w:cs="Arial" w:eastAsia="Arial" w:hAnsi="Arial"/>
          <w:b/>
          <w:bCs/>
          <w:color w:val="1F4E78"/>
          <w:sz w:val="36"/>
          <w:szCs w:val="36"/>
        </w:rPr>
        <w:t xml:space="preserve">Married Filing Jointly, With Children</w:t>
      </w:r>
    </w:p>
    <w:p>
      <w:pPr>
        <w:spacing w:after="240" w:line="340"/>
        <w:jc w:val="both"/>
      </w:pPr>
      <w:r>
        <w:rPr>
          <w:rFonts w:ascii="Georgia" w:cs="Georgia" w:eastAsia="Georgia" w:hAnsi="Georgia"/>
          <w:color w:val="1A1A1A"/>
          <w:sz w:val="24"/>
          <w:szCs w:val="24"/>
        </w:rPr>
        <w:t xml:space="preserve">This is the largest single category of American households — married couples raising children. They file jointly with the larger standard deduction, claim the Child Tax Credit ($2,000 per qualifying child), and face family-coverage health insurance premiums. They also bear childcare costs that fall outside the standard tax framework but consume substantial household income. Under the platform, the wage floor exemption applies at 1.5x for joint filing.</w:t>
      </w:r>
    </w:p>
    <w:p>
      <w:pPr>
        <w:pStyle w:val="Heading2"/>
        <w:spacing w:after="160" w:before="360"/>
      </w:pPr>
      <w:r>
        <w:rPr>
          <w:rFonts w:ascii="Arial" w:cs="Arial" w:eastAsia="Arial" w:hAnsi="Arial"/>
          <w:b/>
          <w:bCs/>
          <w:color w:val="1F4E78"/>
          <w:sz w:val="28"/>
          <w:szCs w:val="28"/>
        </w:rPr>
        <w:t xml:space="preserve">Detailed Breakdown: $100,000 MFJ with 2 Kids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500"/>
      </w:tblGrid>
      <w:tr>
        <w:tc>
          <w:tcPr>
            <w:tcW w:type="dxa" w:w="40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Item</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Current</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Platform</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Gross income</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$100,000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$100,000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Deduction / Floor exemption</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−$29,200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−$75,000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Taxable income</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$70,800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$25,000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Federal income tax (after $4,000 CTC)</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$4,032</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$0 (CTC zeroed)</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Social Security (6.2%)</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$6,200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[replaced]</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Medicare (1.45%)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$1,450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[absorbed]</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employee share (2%)</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$2,000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employee share (0.5%)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employee share (0.3%)</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employer share (4%)</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combined (6%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$6,000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employer share (0.8%)</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combined (1.3%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employer share (0.5%)</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$500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combined (0.8% full economic burden)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$800</w:t>
            </w:r>
          </w:p>
        </w:tc>
      </w:tr>
      <w:tr>
        <w:tc>
          <w:tcPr>
            <w:tcW w:type="dxa" w:w="4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Health insurance premium (family)</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$6,575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Broadband subscription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Tax preparation (avg, half of households)</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$0</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Identity theft / fraud expected loss</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$100</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w:t>
            </w:r>
          </w:p>
        </w:tc>
      </w:tr>
      <w:tr>
        <w:tc>
          <w:tcPr>
            <w:tcW w:type="dxa" w:w="4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TOTAL (three values for Platform column reflect employee/employer/combined economic burden per Option E; see v3.7.23)</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bCs/>
                <w:color w:val="1A1A1A"/>
                <w:sz w:val="20"/>
                <w:szCs w:val="20"/>
              </w:rPr>
              <w:t>Employee-side: $19,392</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bCs/>
                <w:color w:val="1A1A1A"/>
                <w:sz w:val="20"/>
                <w:szCs w:val="20"/>
              </w:rPr>
              <w:t>Employee-side: $2,815</w:t>
              <w:br/>
              <w:t>Employer-side (firm pays): $5,300</w:t>
              <w:br/>
              <w:t>Combined: $8,115</w:t>
            </w:r>
          </w:p>
        </w:tc>
      </w:tr>
    </w:tbl>
    <w:p>
      <w:pPr>
        <w:spacing w:after="300"/>
      </w:pPr>
      <w:r>
        <w:t xml:space="preserve"/>
      </w:r>
    </w:p>
    <w:p>
      <w:pPr>
        <w:spacing w:after="200" w:line="320"/>
        <w:jc w:val="both"/>
      </w:pPr>
      <w:r>
        <w:rPr>
          <w:rFonts w:ascii="Georgia" w:cs="Georgia" w:eastAsia="Georgia" w:hAnsi="Georgia"/>
          <w:color w:val="1A1A1A"/>
          <w:sz w:val="22"/>
          <w:szCs w:val="22"/>
        </w:rPr>
        <w:t xml:space="preserve">Annual savings: approximately $13,457. That's a 74% reduction. The Child Tax Credit substantially reduces federal income tax under both systems, but the larger wage floor exemption (with the 1.5x MFJ uplift) combined with elimination of FICA and family health premiums produces dramatic total savings.</w:t>
      </w:r>
    </w:p>
    <w:p>
      <w:pPr>
        <w:spacing w:after="200" w:line="320"/>
        <w:jc w:val="both"/>
      </w:pPr>
      <w:r>
        <w:rPr>
          <w:rFonts w:ascii="Georgia" w:cs="Georgia" w:eastAsia="Georgia" w:hAnsi="Georgia"/>
          <w:color w:val="1A1A1A"/>
          <w:sz w:val="22"/>
          <w:szCs w:val="22"/>
        </w:rPr>
        <w:t xml:space="preserve">The platform's universal childcare access is separate from this comparison but transforms household economics for families with young children. A family with two children in childcare currently spends $20,000-$40,000 per year. Under the platform, this becomes effectively zero (the $10/day cap totals approximately $2,500 per year per child). The total household savings combining tax reductions and childcare cost elimination can easily exceed $30,000 per year for families with young children.</w:t>
      </w:r>
    </w:p>
    <w:p>
      <w:pPr>
        <w:pStyle w:val="Heading2"/>
        <w:spacing w:after="160" w:before="360"/>
      </w:pPr>
      <w:r>
        <w:rPr>
          <w:rFonts w:ascii="Arial" w:cs="Arial" w:eastAsia="Arial" w:hAnsi="Arial"/>
          <w:b/>
          <w:bCs/>
          <w:color w:val="1F4E78"/>
          <w:sz w:val="28"/>
          <w:szCs w:val="28"/>
        </w:rPr>
        <w:t xml:space="preserve">MFJ with 2 Kids Across Income Levels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50"/>
        <w:gridCol w:w="2250"/>
        <w:gridCol w:w="2250"/>
        <w:gridCol w:w="2250"/>
      </w:tblGrid>
      <w:tr>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Income</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Current Total Cost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Platform Total Cost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Annual Savings</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$35,000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$10,387</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$1,695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+$8,692</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$11,535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$2,415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+$9,120</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$75,000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$14,479</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$3,615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+$10,864</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$19,392</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$4,815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+$14,577</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$31,867</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$18,071</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+$13,796</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$44,745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$38,214</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+$6,531</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$56,865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$50,193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+$6,672</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$83,215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$74,193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+$9,022</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$500,000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$133,692</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$119,857</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+$13,835</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$750,000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$226,568</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$220,233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+$6,334</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$1,000,000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$324,735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$325,233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−$499</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$1,500,000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$521,485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$560,233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−$38,749</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$718,235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$795,233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−$76,999</w:t>
            </w:r>
          </w:p>
        </w:tc>
      </w:tr>
    </w:tbl>
    <w:p>
      <w:pPr>
        <w:spacing w:after="300"/>
      </w:pPr>
      <w:r>
        <w:t xml:space="preserve"/>
      </w:r>
    </w:p>
    <w:p>
      <w:pPr>
        <w:pStyle w:val="Heading2"/>
        <w:spacing w:after="160" w:before="360"/>
      </w:pPr>
      <w:r>
        <w:rPr>
          <w:rFonts w:ascii="Arial" w:cs="Arial" w:eastAsia="Arial" w:hAnsi="Arial"/>
          <w:b/>
          <w:bCs/>
          <w:color w:val="1F4E78"/>
          <w:sz w:val="28"/>
          <w:szCs w:val="28"/>
        </w:rPr>
        <w:t xml:space="preserve">MFJ with 4 Kids</w:t>
      </w:r>
    </w:p>
    <w:p>
      <w:pPr>
        <w:spacing w:after="200" w:line="320"/>
        <w:jc w:val="both"/>
      </w:pPr>
      <w:r>
        <w:rPr>
          <w:rFonts w:ascii="Georgia" w:cs="Georgia" w:eastAsia="Georgia" w:hAnsi="Georgia"/>
          <w:color w:val="1A1A1A"/>
          <w:sz w:val="22"/>
          <w:szCs w:val="22"/>
        </w:rPr>
        <w:t xml:space="preserve">Larger families benefit further from the Child Tax Credit (which scales with the number of children) plus the relative weight of family healthcare premium savings. The platform's childcare access scales with children too — universal access means each child is covered.</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50"/>
        <w:gridCol w:w="2250"/>
        <w:gridCol w:w="2250"/>
        <w:gridCol w:w="2250"/>
      </w:tblGrid>
      <w:tr>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Income</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Current Total Cost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Platform Total Cost</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Annual Savings</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$11,535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$2,415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+$9,120</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$75,000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$13,447</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$3,615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+$9,832</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$15,392</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$4,815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+$10,577</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$27,867</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$14,071</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+$13,796</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$40,745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$34,214</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+$6,531</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$250,000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$52,865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$46,193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+$6,672</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$79,215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$70,193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+$9,022</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$500,000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$130,692</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$115,857</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+$14,835</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$750,000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$226,568</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$216,233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+$10,334</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$1,000,000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$324,735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$321,233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+$3,501</w:t>
            </w:r>
          </w:p>
        </w:tc>
      </w:tr>
      <w:tr>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$1,500,000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$521,485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$556,233</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−$34,749</w:t>
            </w:r>
          </w:p>
        </w:tc>
      </w:tr>
      <w:tr>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$2,000,000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$718,235</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$791,233</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−$72,999</w:t>
            </w:r>
          </w:p>
        </w:tc>
      </w:tr>
    </w:tbl>
    <w:p>
      <w:pPr>
        <w:spacing w:after="3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A married couple with 4 children earning $100,000 — a typical large American family — saves about $9,457 per year on federal taxes plus avoids family-coverage health premiums. Combined with universal childcare access for younger children, the total annual benefit can exceed $25,000-$40,000 depending on childcare needs. This is the kind of transformative impact that makes the platform's proposal worth serious consideration for working families.</w:t>
            </w:r>
          </w:p>
        </w:tc>
      </w:tr>
    </w:tbl>
    <w:p>
      <w:r>
        <w:br w:type="page"/>
      </w:r>
    </w:p>
    <w:p>
      <w:pPr>
        <w:pStyle w:val="Heading1"/>
        <w:spacing w:after="240" w:before="480"/>
      </w:pPr>
      <w:r>
        <w:rPr>
          <w:rFonts w:ascii="Arial" w:cs="Arial" w:eastAsia="Arial" w:hAnsi="Arial"/>
          <w:b/>
          <w:bCs/>
          <w:color w:val="1F4E78"/>
          <w:sz w:val="36"/>
          <w:szCs w:val="36"/>
        </w:rPr>
        <w:t xml:space="preserve">High Earners and the Surcharge Architecture</w:t>
      </w:r>
    </w:p>
    <w:p>
      <w:pPr>
        <w:spacing w:after="240" w:line="340"/>
        <w:jc w:val="both"/>
      </w:pPr>
      <w:r>
        <w:rPr>
          <w:rFonts w:ascii="Georgia" w:cs="Georgia" w:eastAsia="Georgia" w:hAnsi="Georgia"/>
          <w:color w:val="1A1A1A"/>
          <w:sz w:val="24"/>
          <w:szCs w:val="24"/>
        </w:rPr>
        <w:t xml:space="preserve">The platform's tax architecture asks high earners to contribute more to make the working-class and middle-class savings possible. The high-earner surcharges are real but not transformative — they bring American taxation closer to peer-nation rates without producing the kind of confiscatory levels that often appear in policy debate. This section examines the high-earner experience honestly.</w:t>
      </w:r>
    </w:p>
    <w:p>
      <w:pPr>
        <w:pStyle w:val="Heading2"/>
        <w:spacing w:after="160" w:before="360"/>
      </w:pPr>
      <w:r>
        <w:rPr>
          <w:rFonts w:ascii="Arial" w:cs="Arial" w:eastAsia="Arial" w:hAnsi="Arial"/>
          <w:b/>
          <w:bCs/>
          <w:color w:val="1F4E78"/>
          <w:sz w:val="28"/>
          <w:szCs w:val="28"/>
        </w:rPr>
        <w:t xml:space="preserve">Single Earner at $500K</w:t>
      </w:r>
    </w:p>
    <w:p>
      <w:pPr>
        <w:spacing w:after="200" w:line="320"/>
        <w:jc w:val="both"/>
      </w:pPr>
      <w:r>
        <w:rPr>
          <w:rFonts w:ascii="Georgia" w:cs="Georgia" w:eastAsia="Georgia" w:hAnsi="Georgia"/>
          <w:color w:val="1A1A1A"/>
          <w:sz w:val="22"/>
          <w:szCs w:val="22"/>
        </w:rPr>
        <w:t>A single earner at $500,000 with no children faces the canonical OPEN-2 graduated high-earner surcharge of 5% on income above $250,000, which produces $12,500 per year ($250,000 × 5%). The wage floor exemption no longer applies at this income (the exemption phases out above 2.5x the occupation's floor; at $500,000 the exemption is $0 for any occupation). Under the platform's canonical OPEN-1 healthcare contribution structure (4% employer + 2% employee = 6% combined), the worker's paystub-visible 2% employee share is $10,000 per year, the firm's 4% employer share paid on the worker's behalf is $20,000 per year, and the combined 6% economic burden (per standard tax-incidence theory) is $30,000 per year. Net impact depends on healthcare and payroll-state assumptions: under mature steady-state (FICA absorbed into universal healthcare, current ~$8,000 single-individual premium replaced by universal coverage), worker-visible out-of-pocket totals are within roughly $1,000-$2,000 of current system either direction; the surcharge ($12,500) plus healthcare 2% employee share ($10,000) is comparable to the current FICA ($20,400) plus health premium ($8,000) burden. Under standard tax-incidence theory, the employer's 4% healthcare contribution ($20,000) is also economically borne by the worker; adding it produces a total economic burden approximately $20,000 higher than the current system. The household's framing matters for interpretation. The Calculator produces personalized side-by-side comparison for specific household situations.</w:t>
      </w:r>
    </w:p>
    <w:p>
      <w:pPr>
        <w:spacing w:after="200" w:line="320"/>
        <w:jc w:val="both"/>
      </w:pPr>
      <w:r>
        <w:rPr>
          <w:rFonts w:ascii="Georgia" w:cs="Georgia" w:eastAsia="Georgia" w:hAnsi="Georgia"/>
          <w:color w:val="1A1A1A"/>
          <w:sz w:val="22"/>
          <w:szCs w:val="22"/>
        </w:rPr>
        <w:t xml:space="preserve">The trade-off they receive: universal healthcare coverage (eliminating the need for private insurance, which often costs $15,000-$25,000 per year for individual policies of comparable quality), Sovereign Fund retirement balance accumulation (more reliable than Social Security as currently funded), and access to all the platform's compound benefits including identity theft reduction, retroactive debt retirement if applicable, and the broader stability of universal infrastructure.</w:t>
      </w:r>
    </w:p>
    <w:p>
      <w:pPr>
        <w:pStyle w:val="Heading2"/>
        <w:spacing w:after="160" w:before="360"/>
      </w:pPr>
      <w:r>
        <w:rPr>
          <w:rFonts w:ascii="Arial" w:cs="Arial" w:eastAsia="Arial" w:hAnsi="Arial"/>
          <w:b/>
          <w:bCs/>
          <w:color w:val="1F4E78"/>
          <w:sz w:val="28"/>
          <w:szCs w:val="28"/>
        </w:rPr>
        <w:t xml:space="preserve">MFJ at $500K with 2 Kids</w:t>
      </w:r>
    </w:p>
    <w:p>
      <w:pPr>
        <w:spacing w:after="200" w:line="320"/>
        <w:jc w:val="both"/>
      </w:pPr>
      <w:r>
        <w:rPr>
          <w:rFonts w:ascii="Georgia" w:cs="Georgia" w:eastAsia="Georgia" w:hAnsi="Georgia"/>
          <w:color w:val="1A1A1A"/>
          <w:sz w:val="22"/>
          <w:szCs w:val="22"/>
        </w:rPr>
        <w:t>A married couple earning $500,000 with two children faces the canonical OPEN-2 graduated high-earner surcharge with thresholds doubled for joint filers: surcharge starts at $500,000 (versus $250,000 for single filers), so at exactly $500,000 MFJ the surcharge is $0. The MFJ wage floor exemption (1.5x the base floor) applies partially at this income depending on the occupation's floor. The Child Tax Credit continues unchanged ($2,000 per child under 17, refundable up to $1,600). Under the canonical OPEN-1 healthcare contribution (4% employer + 2% employee = 6% total), the household's visible 2% employee share is $10,000 per year. Net impact under mature steady-state: substantial savings driven by universal childcare (replacing what was likely $20,000-$30,000 per year in childcare costs for two children) and universal healthcare (replacing what was likely $20,000-$25,000 per year in family premium costs). For a representative household with both kids in full-time childcare, total savings are on the order of $30,000-$50,000 per year. For a household with kids past childcare age, savings are smaller but still meaningful (approximately $10,000-$20,000 per year). Specific dollar amounts depend on occupation, current healthcare structure, and childcare arrangements; the Calculator produces personalized estimates.</w:t>
      </w:r>
    </w:p>
    <w:p>
      <w:pPr>
        <w:pStyle w:val="Heading2"/>
        <w:spacing w:after="160" w:before="360"/>
      </w:pPr>
      <w:r>
        <w:rPr>
          <w:rFonts w:ascii="Arial" w:cs="Arial" w:eastAsia="Arial" w:hAnsi="Arial"/>
          <w:b/>
          <w:bCs/>
          <w:color w:val="1F4E78"/>
          <w:sz w:val="28"/>
          <w:szCs w:val="28"/>
        </w:rPr>
        <w:t xml:space="preserve">Single Earner at $1M and Above</w:t>
      </w:r>
    </w:p>
    <w:p>
      <w:pPr>
        <w:spacing w:after="200" w:line="320"/>
        <w:jc w:val="both"/>
      </w:pPr>
      <w:r>
        <w:rPr>
          <w:rFonts w:ascii="Georgia" w:cs="Georgia" w:eastAsia="Georgia" w:hAnsi="Georgia"/>
          <w:color w:val="1A1A1A"/>
          <w:sz w:val="22"/>
          <w:szCs w:val="22"/>
        </w:rPr>
        <w:t>Above $1,000,000 in single-earner income, the canonical OPEN-2 graduated structure produces substantial surcharges: at $1,000,000 the cumulative surcharge is $62,500 (5% on $250,000-$500,000 = $12,500 plus 10% on $500,000-$1,000,000 = $50,000). At $2,000,000 the surcharge is $212,500 ($12,500 + $50,000 + 15% on the $1,000,000 above the $1M threshold = $150,000). At $5,000,000 the surcharge is $662,500. These numbers are intentionally substantial: the platform's principle is that the country's wealth accumulation should be available for the country's collective investment, not concentrated indefinitely. The wage floor exemption is $0 at all these income levels (fully phased out above 2.5x any occupation's floor). The healthcare contribution (4% employer + 2% employee = 6% total per canonical OPEN-1) generates significant additional revenue at high incomes (a $1M earner contributes $60,000 per year in total healthcare contributions, of which $20,000 is the worker's visible 2% share). If the household has net worth above $10 million, the small wealth surcharge of 0.5% (per OPEN-2 mechanism 2) applies to net worth above the threshold; if net worth is above $50 million, the wealth tax of 0.6% (per OPEN-2 mechanism 3) applies to net worth above $50 million and funds Sovereign Investment Fund corpus accumulation.  (Source baseline: see Sources_And_Derivation_Convention.docx.)</w:t>
      </w:r>
    </w:p>
    <w:p>
      <w:pPr>
        <w:pStyle w:val="Heading2"/>
        <w:spacing w:after="160" w:before="360"/>
      </w:pPr>
      <w:r>
        <w:rPr>
          <w:rFonts w:ascii="Arial" w:cs="Arial" w:eastAsia="Arial" w:hAnsi="Arial"/>
          <w:b/>
          <w:bCs/>
          <w:color w:val="1F4E78"/>
          <w:sz w:val="28"/>
          <w:szCs w:val="28"/>
        </w:rPr>
        <w:t xml:space="preserve">MFJ Couples at Higher Incomes</w:t>
      </w:r>
    </w:p>
    <w:p>
      <w:pPr>
        <w:spacing w:after="200" w:line="320"/>
        <w:jc w:val="both"/>
      </w:pPr>
      <w:r>
        <w:rPr>
          <w:rFonts w:ascii="Georgia" w:cs="Georgia" w:eastAsia="Georgia" w:hAnsi="Georgia"/>
          <w:color w:val="1A1A1A"/>
          <w:sz w:val="22"/>
          <w:szCs w:val="22"/>
        </w:rPr>
        <w:t>MFJ couples see different effects than single earners at the same income levels because the canonical OPEN-2 surcharge thresholds are doubled for joint filers: 5% above $500,000, 10% above $1,000,000, 15% above $2,000,000 (versus single-filer thresholds of $250,000, $500,000, $1,000,000). At MFJ income of $1,000,000 the cumulative surcharge is $25,000 (5% on $500,000-$1,000,000 only, since 10% bracket starts at $1M). At MFJ income of $2,000,000 the cumulative surcharge is $125,000 (5% on $500,000-$1,000,000 = $25,000 plus 10% on $1,000,000-$2,000,000 = $100,000). At MFJ income of $5,000,000 the cumulative surcharge is $575,000. The doubled-threshold structure protects upper-middle-class families more than upper-middle-class single earners; an MFJ household at $400,000 pays no high-earner surcharge while a single earner at $400,000 pays $7,500 (5% × $150,000). This asymmetry reflects the platform's commitment to preserve the marriage neutrality principle in the existing tax code while recognizing that two-earner households with comparable per-person incomes face different financial situations than single earners at the same total.</w:t>
      </w:r>
    </w:p>
    <w:p>
      <w:pPr>
        <w:pStyle w:val="Heading2"/>
        <w:spacing w:after="160" w:before="360"/>
      </w:pPr>
      <w:r>
        <w:rPr>
          <w:rFonts w:ascii="Arial" w:cs="Arial" w:eastAsia="Arial" w:hAnsi="Arial"/>
          <w:b/>
          <w:bCs/>
          <w:color w:val="1F4E78"/>
          <w:sz w:val="28"/>
          <w:szCs w:val="28"/>
        </w:rPr>
        <w:t xml:space="preserve">Why the High-Earner Architecture Is Reasonable</w:t>
      </w:r>
    </w:p>
    <w:p>
      <w:pPr>
        <w:spacing w:after="200" w:line="320"/>
        <w:jc w:val="both"/>
      </w:pPr>
      <w:r>
        <w:rPr>
          <w:rFonts w:ascii="Georgia" w:cs="Georgia" w:eastAsia="Georgia" w:hAnsi="Georgia"/>
          <w:color w:val="1A1A1A"/>
          <w:sz w:val="22"/>
          <w:szCs w:val="22"/>
        </w:rPr>
        <w:t>Some readers will examine these numbers and ask whether the increases on high earners are too modest given the dramatic savings for working-class and middle-class workers. Others will ask whether they're too aggressive. The platform's design takes a moderate position: high earners pay somewhat more, but not transformatively more. This reflects two judgments. First, the platform's architecture (universal healthcare, retirement security, cognitive bandwidth restoration) benefits high earners as well as low earners, even if the dollar magnitude differs. Second, transformative tax increases on high earners produce capital flight, behavioral responses, and political opposition that would compromise the platform's viability. Item 81 (Federal Income Tax Revenue Under the Platform's Modified Architecture, added in v2.29 and enhanced in v2.30) provides the order-of-magnitude revenue substantiation for the high-earner architecture: approximately $130 billion per year from the graduated income surcharge at median behavioral elasticity (ETI 0.4), plus approximately $35 billion from the small wealth surcharge above $10 million net worth, plus approximately $60 billion from the wealth tax above $50 million net worth, totaling approximately $225 billion per year combined at mature steady-state.</w:t>
      </w:r>
    </w:p>
    <w:p>
      <w:pPr>
        <w:spacing w:after="200" w:line="320"/>
        <w:jc w:val="both"/>
      </w:pPr>
      <w:r>
        <w:rPr>
          <w:rFonts w:ascii="Georgia" w:cs="Georgia" w:eastAsia="Georgia" w:hAnsi="Georgia"/>
          <w:color w:val="1A1A1A"/>
          <w:sz w:val="22"/>
          <w:szCs w:val="22"/>
        </w:rPr>
        <w:t xml:space="preserve">The honest acknowledgment: the platform doesn't produce dramatic redistribution from high earners to low earners through taxation. It produces dramatic restructuring of how middle-class and working-class workers receive value (replacing fragmented expensive arrangements with universal infrastructure), funded primarily by administrative simplification (the healthcare savings from eliminating multi-payer overhead account for most of the gap), and modestly by additional contribution from high earners.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tax architecture is moderate by the standards of peer-nation comparison. American high earners pay less tax under the platform than their counterparts in most European countries do today. The savings for working-class and middle-class Americans come primarily from administrative simplification, not from confiscatory taxation of the wealthy.”</w:t>
            </w:r>
          </w:p>
        </w:tc>
      </w:tr>
    </w:tbl>
    <w:p>
      <w:r>
        <w:br w:type="page"/>
      </w:r>
    </w:p>
    <w:p>
      <w:pPr>
        <w:pStyle w:val="Heading1"/>
        <w:spacing w:after="240" w:before="480"/>
      </w:pPr>
      <w:r>
        <w:rPr>
          <w:rFonts w:ascii="Arial" w:cs="Arial" w:eastAsia="Arial" w:hAnsi="Arial"/>
          <w:b/>
          <w:bCs/>
          <w:color w:val="1F4E78"/>
          <w:sz w:val="36"/>
          <w:szCs w:val="36"/>
        </w:rPr>
        <w:t xml:space="preserve">What Each Dollar Buys</w:t>
      </w:r>
    </w:p>
    <w:p>
      <w:pPr>
        <w:spacing w:after="240" w:line="340"/>
        <w:jc w:val="both"/>
      </w:pPr>
      <w:r>
        <w:rPr>
          <w:rFonts w:ascii="Georgia" w:cs="Georgia" w:eastAsia="Georgia" w:hAnsi="Georgia"/>
          <w:color w:val="1A1A1A"/>
          <w:sz w:val="24"/>
          <w:szCs w:val="24"/>
        </w:rPr>
        <w:t xml:space="preserve">The dollar comparisons in the previous sections capture only part of the story. The more important comparison is what each dollar of federal cost actually buys for the worker paying it. Under the current system, the federal taxes pay for various government services that the worker may or may not personally receive. Under the platform, the federal contributions buy a specific bundle of universal services that every worker receives directly.</w:t>
      </w:r>
    </w:p>
    <w:p>
      <w:pPr>
        <w:pStyle w:val="Heading2"/>
        <w:spacing w:after="160" w:before="360"/>
      </w:pPr>
      <w:r>
        <w:rPr>
          <w:rFonts w:ascii="Arial" w:cs="Arial" w:eastAsia="Arial" w:hAnsi="Arial"/>
          <w:b/>
          <w:bCs/>
          <w:color w:val="1F4E78"/>
          <w:sz w:val="28"/>
          <w:szCs w:val="28"/>
        </w:rPr>
        <w:t xml:space="preserve">What the Current System's Federal Cost Buys</w:t>
      </w:r>
    </w:p>
    <w:p>
      <w:pPr>
        <w:spacing w:after="200" w:line="320"/>
        <w:jc w:val="both"/>
      </w:pPr>
      <w:r>
        <w:rPr>
          <w:rFonts w:ascii="Georgia" w:cs="Georgia" w:eastAsia="Georgia" w:hAnsi="Georgia"/>
          <w:color w:val="1A1A1A"/>
          <w:sz w:val="22"/>
          <w:szCs w:val="22"/>
        </w:rPr>
        <w:t xml:space="preserve">Under the current system, a typical worker's federal cost (income tax + FICA + health premium) buys:</w:t>
      </w:r>
    </w:p>
    <w:p>
      <w:pPr>
        <w:spacing w:after="200" w:line="320"/>
        <w:jc w:val="both"/>
      </w:pPr>
      <w:r>
        <w:rPr>
          <w:rFonts w:ascii="Georgia" w:cs="Georgia" w:eastAsia="Georgia" w:hAnsi="Georgia"/>
          <w:b/>
          <w:bCs/>
          <w:sz w:val="22"/>
          <w:szCs w:val="22"/>
        </w:rPr>
        <w:t xml:space="preserve">Future Social Security benefits: </w:t>
      </w:r>
      <w:r>
        <w:rPr>
          <w:rFonts w:ascii="Georgia" w:cs="Georgia" w:eastAsia="Georgia" w:hAnsi="Georgia"/>
          <w:color w:val="1A1A1A"/>
          <w:sz w:val="22"/>
          <w:szCs w:val="22"/>
        </w:rPr>
        <w:t xml:space="preserve">Calculated based on the worker's lifetime earnings, with current trust fund projections suggesting benefits may be reduced 20-25% in the 2030s without legislative changes. Average benefit at full retirement age: approximately $22,000 per year.</w:t>
      </w:r>
    </w:p>
    <w:p>
      <w:pPr>
        <w:spacing w:after="200" w:line="320"/>
        <w:jc w:val="both"/>
      </w:pPr>
      <w:r>
        <w:rPr>
          <w:rFonts w:ascii="Georgia" w:cs="Georgia" w:eastAsia="Georgia" w:hAnsi="Georgia"/>
          <w:b/>
          <w:bCs/>
          <w:sz w:val="22"/>
          <w:szCs w:val="22"/>
        </w:rPr>
        <w:t xml:space="preserve">Future Medicare benefits: </w:t>
      </w:r>
      <w:r>
        <w:rPr>
          <w:rFonts w:ascii="Georgia" w:cs="Georgia" w:eastAsia="Georgia" w:hAnsi="Georgia"/>
          <w:color w:val="1A1A1A"/>
          <w:sz w:val="22"/>
          <w:szCs w:val="22"/>
        </w:rPr>
        <w:t xml:space="preserve">Available at age 65 and after; covers most healthcare costs but with substantial deductibles, coinsurance, and exclusions. Most beneficiaries supplement with Medigap policies that cost additional $1,500-$3,000 per year.</w:t>
      </w:r>
    </w:p>
    <w:p>
      <w:pPr>
        <w:spacing w:after="200" w:line="320"/>
        <w:jc w:val="both"/>
      </w:pPr>
      <w:r>
        <w:rPr>
          <w:rFonts w:ascii="Georgia" w:cs="Georgia" w:eastAsia="Georgia" w:hAnsi="Georgia"/>
          <w:b/>
          <w:bCs/>
          <w:sz w:val="22"/>
          <w:szCs w:val="22"/>
        </w:rPr>
        <w:t xml:space="preserve">Current health insurance: </w:t>
      </w:r>
      <w:r>
        <w:rPr>
          <w:rFonts w:ascii="Georgia" w:cs="Georgia" w:eastAsia="Georgia" w:hAnsi="Georgia"/>
          <w:color w:val="1A1A1A"/>
          <w:sz w:val="22"/>
          <w:szCs w:val="22"/>
        </w:rPr>
        <w:t xml:space="preserve">Provides healthcare coverage during employment with the specific employer; lost when changing jobs unless the worker pays COBRA premiums (typically 100-102% of full premium cost); doesn't cover family unless premium tier upgraded.</w:t>
      </w:r>
    </w:p>
    <w:p>
      <w:pPr>
        <w:spacing w:after="200" w:line="320"/>
        <w:jc w:val="both"/>
      </w:pPr>
      <w:r>
        <w:rPr>
          <w:rFonts w:ascii="Georgia" w:cs="Georgia" w:eastAsia="Georgia" w:hAnsi="Georgia"/>
          <w:b/>
          <w:bCs/>
          <w:sz w:val="22"/>
          <w:szCs w:val="22"/>
        </w:rPr>
        <w:t xml:space="preserve">General federal services: </w:t>
      </w:r>
      <w:r>
        <w:rPr>
          <w:rFonts w:ascii="Georgia" w:cs="Georgia" w:eastAsia="Georgia" w:hAnsi="Georgia"/>
          <w:color w:val="1A1A1A"/>
          <w:sz w:val="22"/>
          <w:szCs w:val="22"/>
        </w:rPr>
        <w:t xml:space="preserve">Defense, infrastructure, regulation, scientific research, and other broad government functions whose benefits are widely shared but rarely tied to specific tax payments.</w:t>
      </w:r>
    </w:p>
    <w:p>
      <w:pPr>
        <w:pStyle w:val="Heading2"/>
        <w:spacing w:after="160" w:before="360"/>
      </w:pPr>
      <w:r>
        <w:rPr>
          <w:rFonts w:ascii="Arial" w:cs="Arial" w:eastAsia="Arial" w:hAnsi="Arial"/>
          <w:b/>
          <w:bCs/>
          <w:color w:val="1F4E78"/>
          <w:sz w:val="28"/>
          <w:szCs w:val="28"/>
        </w:rPr>
        <w:t xml:space="preserve">What the Platform's Federal Cost Buys</w:t>
      </w:r>
    </w:p>
    <w:p>
      <w:pPr>
        <w:spacing w:after="200" w:line="320"/>
        <w:jc w:val="both"/>
      </w:pPr>
      <w:r>
        <w:rPr>
          <w:rFonts w:ascii="Georgia" w:cs="Georgia" w:eastAsia="Georgia" w:hAnsi="Georgia"/>
          <w:color w:val="1A1A1A"/>
          <w:sz w:val="22"/>
          <w:szCs w:val="22"/>
        </w:rPr>
        <w:t xml:space="preserve">Under the platform, the same worker's federal cost buys all of the above (general federal services continue) plus:</w:t>
      </w:r>
    </w:p>
    <w:p>
      <w:pPr>
        <w:spacing w:after="200" w:line="320"/>
        <w:jc w:val="both"/>
      </w:pPr>
      <w:r>
        <w:rPr>
          <w:rFonts w:ascii="Georgia" w:cs="Georgia" w:eastAsia="Georgia" w:hAnsi="Georgia"/>
          <w:b/>
          <w:bCs/>
          <w:sz w:val="22"/>
          <w:szCs w:val="22"/>
        </w:rPr>
        <w:t xml:space="preserve">Universal healthcare coverage for worker AND family: </w:t>
      </w:r>
      <w:r>
        <w:rPr>
          <w:rFonts w:ascii="Georgia" w:cs="Georgia" w:eastAsia="Georgia" w:hAnsi="Georgia"/>
          <w:color w:val="1A1A1A"/>
          <w:sz w:val="22"/>
          <w:szCs w:val="22"/>
        </w:rPr>
        <w:t xml:space="preserve">No premium, no network restrictions tied to employment, no loss of coverage during job changes, no coverage gaps. Includes all medically necessary care without separate deductibles or out-of-pocket maximums tied to employer plans.</w:t>
      </w:r>
    </w:p>
    <w:p>
      <w:pPr>
        <w:spacing w:after="200" w:line="320"/>
        <w:jc w:val="both"/>
      </w:pPr>
      <w:r>
        <w:rPr>
          <w:rFonts w:ascii="Georgia" w:cs="Georgia" w:eastAsia="Georgia" w:hAnsi="Georgia"/>
          <w:b/>
          <w:bCs/>
          <w:sz w:val="22"/>
          <w:szCs w:val="22"/>
        </w:rPr>
        <w:t xml:space="preserve">Universal childcare access: </w:t>
      </w:r>
      <w:r>
        <w:rPr>
          <w:rFonts w:ascii="Georgia" w:cs="Georgia" w:eastAsia="Georgia" w:hAnsi="Georgia"/>
          <w:color w:val="1A1A1A"/>
          <w:sz w:val="22"/>
          <w:szCs w:val="22"/>
        </w:rPr>
        <w:t xml:space="preserve">$10/day cap on childcare costs for working families with young children. Effectively eliminates one of the largest expenses in current household budgets.</w:t>
      </w:r>
    </w:p>
    <w:p>
      <w:pPr>
        <w:spacing w:after="200" w:line="320"/>
        <w:jc w:val="both"/>
      </w:pPr>
      <w:r>
        <w:rPr>
          <w:rFonts w:ascii="Georgia" w:cs="Georgia" w:eastAsia="Georgia" w:hAnsi="Georgia"/>
          <w:b/>
          <w:bCs/>
          <w:sz w:val="22"/>
          <w:szCs w:val="22"/>
        </w:rPr>
        <w:t xml:space="preserve">Universal mental health access: </w:t>
      </w:r>
      <w:r>
        <w:rPr>
          <w:rFonts w:ascii="Georgia" w:cs="Georgia" w:eastAsia="Georgia" w:hAnsi="Georgia"/>
          <w:color w:val="1A1A1A"/>
          <w:sz w:val="22"/>
          <w:szCs w:val="22"/>
        </w:rPr>
        <w:t xml:space="preserve">No barriers to mental health services; expanded workforce reduces wait times; covered without separate cost-sharing.</w:t>
      </w:r>
    </w:p>
    <w:p>
      <w:pPr>
        <w:spacing w:after="200" w:line="320"/>
        <w:jc w:val="both"/>
      </w:pPr>
      <w:r>
        <w:rPr>
          <w:rFonts w:ascii="Georgia" w:cs="Georgia" w:eastAsia="Georgia" w:hAnsi="Georgia"/>
          <w:b/>
          <w:bCs/>
          <w:sz w:val="22"/>
          <w:szCs w:val="22"/>
        </w:rPr>
        <w:t xml:space="preserve">Sovereign Fund retirement balance: </w:t>
      </w:r>
      <w:r>
        <w:rPr>
          <w:rFonts w:ascii="Georgia" w:cs="Georgia" w:eastAsia="Georgia" w:hAnsi="Georgia"/>
          <w:color w:val="1A1A1A"/>
          <w:sz w:val="22"/>
          <w:szCs w:val="22"/>
        </w:rPr>
        <w:t>Personal account that grows through worker contributions and investment returns; projected to reach approximately $1.2 million by retirement age for someone starting at age 25 with full career participation. More reliable than Social Security's projection-dependent benefits.  (Source baseline: see Sources_And_Derivation_Convention.docx.)</w:t>
      </w:r>
    </w:p>
    <w:p>
      <w:pPr>
        <w:spacing w:after="200" w:line="320"/>
        <w:jc w:val="both"/>
      </w:pPr>
      <w:r>
        <w:rPr>
          <w:rFonts w:ascii="Georgia" w:cs="Georgia" w:eastAsia="Georgia" w:hAnsi="Georgia"/>
          <w:b/>
          <w:bCs/>
          <w:sz w:val="22"/>
          <w:szCs w:val="22"/>
        </w:rPr>
        <w:t>Education fund access: The Sovereign Education Fund covers tuition and required fees for the worker, the worker's children, and any other household member pursuing education through age 30. Coverage extends from vocational training through doctoral programs (research and professional doctorates), with no cap on the number of fields or credentials a citizen may pursue within the age-30 funding window. Continued funding is conditioned on academic performance. Doctoral students receive living stipends. Eliminates student debt for participating institutions.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 xml:space="preserve">Wage floor protection: </w:t>
      </w:r>
      <w:r>
        <w:rPr>
          <w:rFonts w:ascii="Georgia" w:cs="Georgia" w:eastAsia="Georgia" w:hAnsi="Georgia"/>
          <w:color w:val="1A1A1A"/>
          <w:sz w:val="22"/>
          <w:szCs w:val="22"/>
        </w:rPr>
        <w:t xml:space="preserve">Empirical wage floors update regularly based on labor market data, providing structural support for fair compensation across the worker's career. The floor also functions as the federal income tax exemption threshold under the wage floor tax architecture.</w:t>
      </w:r>
    </w:p>
    <w:p>
      <w:pPr>
        <w:spacing w:after="200" w:line="320"/>
        <w:jc w:val="both"/>
      </w:pPr>
      <w:r>
        <w:rPr>
          <w:rFonts w:ascii="Georgia" w:cs="Georgia" w:eastAsia="Georgia" w:hAnsi="Georgia"/>
          <w:b/>
          <w:bCs/>
          <w:sz w:val="22"/>
          <w:szCs w:val="22"/>
        </w:rPr>
        <w:t xml:space="preserve">Compound benefits: </w:t>
      </w:r>
      <w:r>
        <w:rPr>
          <w:rFonts w:ascii="Georgia" w:cs="Georgia" w:eastAsia="Georgia" w:hAnsi="Georgia"/>
          <w:color w:val="1A1A1A"/>
          <w:sz w:val="22"/>
          <w:szCs w:val="22"/>
        </w:rPr>
        <w:t xml:space="preserve">Retroactive medical debt retirement (Years 5-10 of platform), retroactive student loan retirement (Years 5-25), identity theft reduction from architectural simplification, restored cognitive bandwidth from elimination of survival logistics, transparent information for major life decisions.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The dollar comparison shows working-class and middle-class workers paying less under the platform. The value-received comparison shows them receiving substantially more for the lower amount they pay. This is what makes the platform's mathematics defensible: it isn't a free lunch, it's the result of architectural simplification eliminating the administrative overhead that the current multi-payer system requires.</w:t>
            </w:r>
          </w:p>
        </w:tc>
      </w:tr>
    </w:tbl>
    <w:p>
      <w:r>
        <w:br w:type="page"/>
      </w:r>
    </w:p>
    <w:p>
      <w:pPr>
        <w:pStyle w:val="Heading1"/>
        <w:spacing w:after="240" w:before="480"/>
      </w:pPr>
      <w:r>
        <w:rPr>
          <w:rFonts w:ascii="Arial" w:cs="Arial" w:eastAsia="Arial" w:hAnsi="Arial"/>
          <w:b/>
          <w:bCs/>
          <w:color w:val="1F4E78"/>
          <w:sz w:val="36"/>
          <w:szCs w:val="36"/>
        </w:rPr>
        <w:t>Note on Scope: What These Tables Include and Exclude</w:t>
      </w:r>
    </w:p>
    <w:p>
      <w:pPr>
        <w:spacing w:after="240" w:line="340"/>
        <w:jc w:val="both"/>
      </w:pPr>
      <w:r>
        <w:rPr>
          <w:rFonts w:ascii="Georgia" w:cs="Georgia" w:eastAsia="Georgia" w:hAnsi="Georgia"/>
          <w:color w:val="1A1A1A"/>
          <w:sz w:val="24"/>
          <w:szCs w:val="24"/>
        </w:rPr>
        <w:t>All household-cost tables in this document — the summary table, the detailed line-item breakdowns at $50K and $100K, and the income-scaling tables across multiple income levels — include the v2.9 additions: broadband subscription savings, tax preparation expected value, and identity theft / fraud expected loss reductions. These additions reflect the platform's commitments under the Civic Infrastructure pillar (Universal Broadband, Direct File through Civic Technology, federal identity infrastructure) that have substantiated funding plans and translate cleanly to per-household dollar figures.</w:t>
      </w:r>
    </w:p>
    <w:p>
      <w:pPr>
        <w:spacing w:after="240" w:line="340"/>
        <w:jc w:val="both"/>
      </w:pPr>
      <w:r>
        <w:rPr>
          <w:rFonts w:ascii="Georgia" w:cs="Georgia" w:eastAsia="Georgia" w:hAnsi="Georgia"/>
          <w:color w:val="1A1A1A"/>
          <w:sz w:val="24"/>
          <w:szCs w:val="24"/>
        </w:rPr>
        <w:t>The column headers in the income-scaling tables were updated from 'Current Tax + Premium' to 'Current Total Cost' to reflect the broader scope. The savings figures are approximately $1,120 higher per household per year than they would be under the federal-channel-only comparison. The platform-side figures continue to reflect the wage floor architecture — federal income tax is calculated on income above each occupation's empirical wage floor rather than using the standard deduction. This is the platform's core tax architecture innovation; the new household-cost line items added in v2.9 exist independently of the income tax calculation.</w:t>
      </w:r>
    </w:p>
    <w:p>
      <w:pPr>
        <w:pStyle w:val="Heading2"/>
        <w:spacing w:after="160" w:before="360"/>
      </w:pPr>
      <w:r>
        <w:rPr>
          <w:rFonts w:ascii="Arial" w:cs="Arial" w:eastAsia="Arial" w:hAnsi="Arial"/>
          <w:b/>
          <w:bCs/>
          <w:color w:val="1F4E78"/>
          <w:sz w:val="28"/>
          <w:szCs w:val="28"/>
        </w:rPr>
        <w:t>What These Tables Include</w:t>
      </w:r>
    </w:p>
    <w:p>
      <w:pPr>
        <w:spacing w:after="240" w:line="340"/>
        <w:jc w:val="both"/>
      </w:pPr>
      <w:r>
        <w:rPr>
          <w:rFonts w:ascii="Georgia" w:cs="Georgia" w:eastAsia="Georgia" w:hAnsi="Georgia"/>
          <w:color w:val="1A1A1A"/>
          <w:sz w:val="24"/>
          <w:szCs w:val="24"/>
        </w:rPr>
        <w:t>All household-cost tables in this document use a consistent federal-channel scope. They include the cost categories that apply uniformly to all households regardless of state of residence, employer arrangement, or family composition. Specifically, the tables include: federal income tax (calculated under each system using the appropriate deduction or wage floor exemption); current Social Security and Medicare payroll taxes on the current side, with these absorbed into the universal healthcare contribution on the platform side (mature steady-state treatment); the household's share of employer-sponsored health insurance premium on the current side, replaced by the universal healthcare contribution on the platform side; and the v2.9 Civic Infrastructure additions of broadband subscription savings, tax preparation expected value (averaged across the half of households who use professional preparation), and identity theft and fraud expected loss reductions.</w:t>
      </w:r>
    </w:p>
    <w:p>
      <w:pPr>
        <w:pStyle w:val="Heading2"/>
        <w:spacing w:after="160" w:before="360"/>
      </w:pPr>
      <w:r>
        <w:rPr>
          <w:rFonts w:ascii="Arial" w:cs="Arial" w:eastAsia="Arial" w:hAnsi="Arial"/>
          <w:b/>
          <w:bCs/>
          <w:color w:val="1F4E78"/>
          <w:sz w:val="28"/>
          <w:szCs w:val="28"/>
        </w:rPr>
        <w:t>What These Tables Exclude</w:t>
      </w:r>
    </w:p>
    <w:p>
      <w:pPr>
        <w:spacing w:after="240" w:line="340"/>
        <w:jc w:val="both"/>
      </w:pPr>
      <w:r>
        <w:rPr>
          <w:rFonts w:ascii="Georgia" w:cs="Georgia" w:eastAsia="Georgia" w:hAnsi="Georgia"/>
          <w:color w:val="1A1A1A"/>
          <w:sz w:val="24"/>
          <w:szCs w:val="24"/>
        </w:rPr>
        <w:t>Three substantial cost categories are deliberately excluded from these tables because they vary too much across households for a clean side-by-side comparison: state income tax, out-of-pocket medical expenses, and childcare costs. State income tax varies from 0% in nine states to over 13% in the highest-tax states; including a representative state tax figure would either understate or overstate the burden for most readers. Out-of-pocket medical expenses depend heavily on health status, deductible structure, and prescription drug usage; the typical household's $4,500 average masks enormous variation. Childcare costs apply only to households with children under five (approximately 26% of US households) and vary by an order of magnitude depending on number of children, type of care, and geographic region. Adding these would require so many assumptions that the tables would be misleading more often than they were accurate.</w:t>
      </w:r>
    </w:p>
    <w:p>
      <w:pPr>
        <w:spacing w:after="240" w:line="340"/>
        <w:jc w:val="both"/>
      </w:pPr>
      <w:r>
        <w:rPr>
          <w:rFonts w:ascii="Georgia" w:cs="Georgia" w:eastAsia="Georgia" w:hAnsi="Georgia"/>
          <w:color w:val="1A1A1A"/>
          <w:sz w:val="24"/>
          <w:szCs w:val="24"/>
        </w:rPr>
        <w:t>The exclusion of these categories means the savings figures shown in this document are conservative for any household that experiences savings in those categories under the platform. A household with substantial out-of-pocket medical expenses, in a high-tax state, with childcare needs would see savings substantially larger than these tables show. The platform's universal healthcare reduces out-of-pocket medical from a typical $4,500 to approximately $1,500. The platform's universal childcare reduces childcare costs from a typical $13,710 per child per year to approximately $250 per month per child (Quebec model). State tax is unaffected by the federal platform. Households in these situations should refer to the broader scope used in the median household example in Does This Raise Taxes to understand their full picture.</w:t>
      </w:r>
    </w:p>
    <w:p>
      <w:pPr>
        <w:pStyle w:val="Heading2"/>
        <w:spacing w:after="160" w:before="360"/>
      </w:pPr>
      <w:r>
        <w:rPr>
          <w:rFonts w:ascii="Arial" w:cs="Arial" w:eastAsia="Arial" w:hAnsi="Arial"/>
          <w:b/>
          <w:bCs/>
          <w:color w:val="1F4E78"/>
          <w:sz w:val="28"/>
          <w:szCs w:val="28"/>
        </w:rPr>
        <w:t>How These Tables Relate to the Median Household Example in Does This Raise Taxes</w:t>
      </w:r>
    </w:p>
    <w:p>
      <w:pPr>
        <w:spacing w:after="240" w:line="340"/>
        <w:jc w:val="both"/>
      </w:pPr>
      <w:r>
        <w:rPr>
          <w:rFonts w:ascii="Georgia" w:cs="Georgia" w:eastAsia="Georgia" w:hAnsi="Georgia"/>
          <w:color w:val="1A1A1A"/>
          <w:sz w:val="24"/>
          <w:szCs w:val="24"/>
        </w:rPr>
        <w:t>The companion document Does This Raise Taxes uses one anchoring example: a married-filing-jointly household at $75,000 of income with one child who needs childcare. That example uses a broader scope than these tables, including state income tax, out-of-pocket medical expenses, and childcare costs. It also uses transition-state treatment of payroll taxes (FICA continues alongside the new platform contributions during the deployment timeline; the Community Contribution Plan replaces FICA at a revenue-neutral rate in mature steady state). The Does This Raise Taxes example shows annual savings of $16,229. The corresponding row here (MFJ no kids at $75,000) shows $14,864. The corresponding row for households with children (MFJ with 2 kids at $75,000) shows $10,864 — lower because the Child Tax Credit reduces the current-side federal income tax that the savings are measured against.</w:t>
      </w:r>
    </w:p>
    <w:p>
      <w:pPr>
        <w:spacing w:after="240" w:line="340"/>
        <w:jc w:val="both"/>
      </w:pPr>
      <w:r>
        <w:rPr>
          <w:rFonts w:ascii="Georgia" w:cs="Georgia" w:eastAsia="Georgia" w:hAnsi="Georgia"/>
          <w:color w:val="1A1A1A"/>
          <w:sz w:val="24"/>
          <w:szCs w:val="24"/>
        </w:rPr>
        <w:t>The differences across these figures reflect the legitimate scope and timeframe choices made in each document, not arithmetic errors. Reading both documents in sequence (the Manifesto first for context, then Does This Raise Taxes for the median-household walk-through, then this document for filer-by-filer scaling) produces a coherent picture. A reader whose situation matches the median household closely should weight the Does This Raise Taxes figure more heavily for their personal estimate. A reader whose situation differs (no kids, different income, single filer, different state) should weight the corresponding row in this document more heavily. The planned v2.12 We The People Calculator will let any reader produce a personalized side-by-side comparison matching their own situation across all relevant cost dimensions.</w:t>
      </w:r>
    </w:p>
    <w:p>
      <w:pPr>
        <w:pStyle w:val="Heading1"/>
        <w:spacing w:after="240" w:before="480"/>
      </w:pPr>
      <w:r>
        <w:rPr>
          <w:rFonts w:ascii="Arial" w:cs="Arial" w:eastAsia="Arial" w:hAnsi="Arial"/>
          <w:b/>
          <w:bCs/>
          <w:color w:val="1F4E78"/>
          <w:sz w:val="36"/>
          <w:szCs w:val="36"/>
        </w:rPr>
        <w:t>Public Infrastructure Benefits Not Captured Here</w:t>
      </w:r>
    </w:p>
    <w:p>
      <w:pPr>
        <w:spacing w:after="240" w:line="340"/>
        <w:jc w:val="both"/>
      </w:pPr>
      <w:r>
        <w:rPr>
          <w:rFonts w:ascii="Georgia" w:cs="Georgia" w:eastAsia="Georgia" w:hAnsi="Georgia"/>
          <w:color w:val="1A1A1A"/>
          <w:sz w:val="24"/>
          <w:szCs w:val="24"/>
        </w:rPr>
        <w:t>The dollar figures in the tables above account for the platform benefits that translate cleanly to per-household cash flow. The platform also commits substantial federal investment to physical and digital systems whose value to citizens is real but does not convert easily to a per-household figure. These benefits are listed here so readers understand what the dollar comparison does not capture.</w:t>
      </w:r>
    </w:p>
    <w:p>
      <w:pPr>
        <w:spacing w:after="240" w:line="340"/>
        <w:jc w:val="both"/>
      </w:pPr>
      <w:r>
        <w:rPr>
          <w:rFonts w:ascii="Georgia" w:cs="Georgia" w:eastAsia="Georgia" w:hAnsi="Georgia"/>
          <w:color w:val="1A1A1A"/>
          <w:sz w:val="24"/>
          <w:szCs w:val="24"/>
        </w:rPr>
        <w:t>Transportation infrastructure (~$80-120 billion annually) addresses the structural deficiency rate that affects roughly twenty percent of American bridges and the chronic underinvestment in transit, freight rail, and active transportation. Citizens benefit through reduced commute times in modernized corridors, fewer vehicle damage costs, expanded transit access, and reduced exposure to safety risks. The dollar value to any specific household varies by geography and travel patterns.</w:t>
      </w:r>
    </w:p>
    <w:p>
      <w:pPr>
        <w:spacing w:after="240" w:line="340"/>
        <w:jc w:val="both"/>
      </w:pPr>
      <w:r>
        <w:rPr>
          <w:rFonts w:ascii="Georgia" w:cs="Georgia" w:eastAsia="Georgia" w:hAnsi="Georgia"/>
          <w:color w:val="1A1A1A"/>
          <w:sz w:val="24"/>
          <w:szCs w:val="24"/>
        </w:rPr>
        <w:t>Water and sewer systems (~$40-60 billion annually) addresses lead service lines remaining in roughly nine million American homes, combined sewer overflows in older cities, and aging water infrastructure. Citizens benefit through reduced lead exposure (with documented effects on childhood cognitive development), fewer service disruptions, and reduced contamination risk. The lifetime cost of childhood lead exposure to affected households can run into the tens of thousands of dollars.</w:t>
      </w:r>
    </w:p>
    <w:p>
      <w:pPr>
        <w:spacing w:after="240" w:line="340"/>
        <w:jc w:val="both"/>
      </w:pPr>
      <w:r>
        <w:rPr>
          <w:rFonts w:ascii="Georgia" w:cs="Georgia" w:eastAsia="Georgia" w:hAnsi="Georgia"/>
          <w:color w:val="1A1A1A"/>
          <w:sz w:val="24"/>
          <w:szCs w:val="24"/>
        </w:rPr>
        <w:t>Public spaces (~$22-32 billion annually) addresses underinvestment in libraries, parks, community centers, and cultural infrastructure. Libraries provide computing, internet access, and learning resources to households that lack alternatives — most concentrated for the lowest-income households.</w:t>
      </w:r>
    </w:p>
    <w:p>
      <w:pPr>
        <w:spacing w:after="240" w:line="340"/>
        <w:jc w:val="both"/>
      </w:pPr>
      <w:r>
        <w:rPr>
          <w:rFonts w:ascii="Georgia" w:cs="Georgia" w:eastAsia="Georgia" w:hAnsi="Georgia"/>
          <w:color w:val="1A1A1A"/>
          <w:sz w:val="24"/>
          <w:szCs w:val="24"/>
        </w:rPr>
        <w:t>Energy grid modernization (~$50-80 billion annually) addresses transmission and distribution infrastructure averaging forty years old. Citizens benefit through reduced outage frequency and duration, improved resilience against weather events, and the bidirectional capacity that distributed generation requires.</w:t>
      </w:r>
    </w:p>
    <w:p>
      <w:pPr>
        <w:spacing w:after="240" w:line="340"/>
        <w:jc w:val="both"/>
      </w:pPr>
      <w:r>
        <w:rPr>
          <w:rFonts w:ascii="Georgia" w:cs="Georgia" w:eastAsia="Georgia" w:hAnsi="Georgia"/>
          <w:color w:val="1A1A1A"/>
          <w:sz w:val="24"/>
          <w:szCs w:val="24"/>
        </w:rPr>
        <w:t>These four components total approximately $192-292 billion annually at full deployment. Excluding them from the per-household tables is a judgment that converting them to per-household figures would require assumptions specific enough to specific households that an averaged figure would mislead more than inform. The benefits are real, are funded, and produce value not captured in the tables.</w:t>
      </w:r>
    </w:p>
    <w:p>
      <w:pPr>
        <w:pStyle w:val="Heading1"/>
        <w:spacing w:after="240" w:before="480"/>
      </w:pPr>
      <w:r>
        <w:rPr>
          <w:rFonts w:ascii="Arial" w:cs="Arial" w:eastAsia="Arial" w:hAnsi="Arial"/>
          <w:b/>
          <w:bCs/>
          <w:color w:val="1F4E78"/>
          <w:sz w:val="36"/>
          <w:szCs w:val="36"/>
        </w:rPr>
        <w:t>Methodology Note: How the New Per-Household Numbers Were Estimated</w:t>
      </w:r>
    </w:p>
    <w:p>
      <w:pPr>
        <w:spacing w:after="240" w:line="340"/>
        <w:jc w:val="both"/>
      </w:pPr>
      <w:r>
        <w:rPr>
          <w:rFonts w:ascii="Georgia" w:cs="Georgia" w:eastAsia="Georgia" w:hAnsi="Georgia"/>
          <w:color w:val="1A1A1A"/>
          <w:sz w:val="24"/>
          <w:szCs w:val="24"/>
        </w:rPr>
        <w:t>The three new line items added in v2.9 rest on assumptions worth naming explicitly so readers can adjust them for their own circumstances.</w:t>
      </w:r>
    </w:p>
    <w:p>
      <w:pPr>
        <w:pStyle w:val="Heading3"/>
        <w:spacing w:after="120" w:before="240"/>
      </w:pPr>
      <w:r>
        <w:rPr>
          <w:rFonts w:ascii="Arial" w:cs="Arial" w:eastAsia="Arial" w:hAnsi="Arial"/>
          <w:b/>
          <w:bCs/>
          <w:color w:val="C00000"/>
          <w:sz w:val="22"/>
          <w:szCs w:val="22"/>
        </w:rPr>
        <w:t>Tax Preparation Savings ($150 expected value)</w:t>
      </w:r>
    </w:p>
    <w:p>
      <w:pPr>
        <w:spacing w:after="240" w:line="340"/>
        <w:jc w:val="both"/>
      </w:pPr>
      <w:r>
        <w:rPr>
          <w:rFonts w:ascii="Georgia" w:cs="Georgia" w:eastAsia="Georgia" w:hAnsi="Georgia"/>
          <w:color w:val="1A1A1A"/>
          <w:sz w:val="24"/>
          <w:szCs w:val="24"/>
        </w:rPr>
        <w:t>Direct File expansion to all fifty states with pre-population produces national tax preparation savings estimated at $24-26 billion annually, concentrated in the roughly fifty percent of households that currently pay for professional tax preparation (average annual cost $290-300). The $150 figure is the expected value across all households (half of households currently pay zero and would continue to pay zero). For a household that currently pays for tax prep, actual savings are closer to $290; for a household that currently files independently, savings are zero. Readers can adjust upward or downward based on their current arrangement.</w:t>
      </w:r>
    </w:p>
    <w:p>
      <w:pPr>
        <w:pStyle w:val="Heading3"/>
        <w:spacing w:after="120" w:before="240"/>
      </w:pPr>
      <w:r>
        <w:rPr>
          <w:rFonts w:ascii="Arial" w:cs="Arial" w:eastAsia="Arial" w:hAnsi="Arial"/>
          <w:b/>
          <w:bCs/>
          <w:color w:val="C00000"/>
          <w:sz w:val="22"/>
          <w:szCs w:val="22"/>
        </w:rPr>
        <w:t>Identity Theft / Fraud Expected Loss ($100 to $15)</w:t>
      </w:r>
    </w:p>
    <w:p>
      <w:pPr>
        <w:spacing w:after="240" w:line="340"/>
        <w:jc w:val="both"/>
      </w:pPr>
      <w:r>
        <w:rPr>
          <w:rFonts w:ascii="Georgia" w:cs="Georgia" w:eastAsia="Georgia" w:hAnsi="Georgia"/>
          <w:color w:val="1A1A1A"/>
          <w:sz w:val="24"/>
          <w:szCs w:val="24"/>
        </w:rPr>
        <w:t>Federal identity infrastructure (Login.gov as universal layer) reduces the exposure that produces approximately $43 billion in annual identity theft and fraud losses across American households. Distributed across roughly 132 million households, this averages to approximately $325 per household per year — but most households experience zero direct loss in any given year, while affected households experience losses ranging from hundreds to tens of thousands of dollars. The $100 figure is a deliberately conservative estimate of expected annual loss; the $15 platform figure assumes 80-85% reduction in fraud exposure. The conservative approach is intended to undersell rather than overstate. Readers whose households have experienced identity theft can substitute their own actual cost; readers who have not can treat the $100 figure as risk-distributed rather than annually realized.</w:t>
      </w:r>
    </w:p>
    <w:p>
      <w:pPr>
        <w:pStyle w:val="Heading3"/>
        <w:spacing w:after="120" w:before="240"/>
      </w:pPr>
      <w:r>
        <w:rPr>
          <w:rFonts w:ascii="Arial" w:cs="Arial" w:eastAsia="Arial" w:hAnsi="Arial"/>
          <w:b/>
          <w:bCs/>
          <w:color w:val="C00000"/>
          <w:sz w:val="22"/>
          <w:szCs w:val="22"/>
        </w:rPr>
        <w:t>Broadband Subscription Savings ($900)</w:t>
      </w:r>
    </w:p>
    <w:p>
      <w:pPr>
        <w:spacing w:after="240" w:line="340"/>
        <w:jc w:val="both"/>
      </w:pPr>
      <w:r>
        <w:rPr>
          <w:rFonts w:ascii="Georgia" w:cs="Georgia" w:eastAsia="Georgia" w:hAnsi="Georgia"/>
          <w:color w:val="1A1A1A"/>
          <w:sz w:val="24"/>
          <w:szCs w:val="24"/>
        </w:rPr>
        <w:t>Free Universal Basic Broadband provides 100/20 Mbps service to every household at no cost. The $900 figure assumes a household currently pays $75 per month for broadband. Households paying more (urban areas with limited competition often see $90-110 per month) would see proportionally larger savings; households in rural areas currently lacking access would gain the full benefit of new service availability. Households preferring premium-tier service above the universal basic floor would still have access through commercial providers; the savings figure assumes substitution rather than maintaining both.</w:t>
      </w:r>
    </w:p>
    <w:p>
      <w:pPr>
        <w:pStyle w:val="Heading2"/>
        <w:spacing w:after="160" w:before="360"/>
      </w:pPr>
      <w:r>
        <w:rPr>
          <w:rFonts w:ascii="Arial" w:cs="Arial" w:eastAsia="Arial" w:hAnsi="Arial"/>
          <w:b/>
          <w:bCs/>
          <w:color w:val="1F4E78"/>
          <w:sz w:val="28"/>
          <w:szCs w:val="28"/>
        </w:rPr>
        <w:t>On the Displayed Contribution Rates</w:t>
      </w:r>
    </w:p>
    <w:p>
      <w:pPr>
        <w:spacing w:after="240" w:line="340"/>
        <w:jc w:val="both"/>
      </w:pPr>
      <w:r>
        <w:rPr>
          <w:rFonts w:ascii="Georgia" w:cs="Georgia" w:eastAsia="Georgia" w:hAnsi="Georgia"/>
          <w:color w:val="1A1A1A"/>
          <w:sz w:val="24"/>
          <w:szCs w:val="24"/>
        </w:rPr>
        <w:t>The canonical OPEN-1 healthcare contribution structure (resolved in v2.26.3, documented in the Open Issues Registry (OIR) Section 10 and updated for Option E in OIR Section 130) is 4% employer + 2% employee = 6% combined. The comparison tables in this document, in Does This Raise Taxes, and in the calculator show all three values explicitly: the employee share (visible on a worker's paystub), the employer share (paid by the firm on the worker's behalf), and the combined rate (the full economic burden on the worker under standard tax-incidence theory, since the employer's share comes from wages that would otherwise be paid). Earlier versions of this document used a single-share convention, which was the source of long-standing apparent contradictions across the platform's materials (some examples used 4%, others used 2%, with inconsistent labels). The both-sides display resolves that by simply showing both rather than picking one.</w:t>
      </w:r>
    </w:p>
    <w:p>
      <w:pPr>
        <w:spacing w:after="240" w:line="340"/>
        <w:jc w:val="both"/>
      </w:pPr>
      <w:r>
        <w:rPr>
          <w:rFonts w:ascii="Georgia" w:cs="Georgia" w:eastAsia="Georgia" w:hAnsi="Georgia"/>
          <w:color w:val="1A1A1A"/>
          <w:sz w:val="24"/>
          <w:szCs w:val="24"/>
        </w:rPr>
        <w:t>The contribution rates shown in the platform-side columns of all tables in this document — for healthcare, childcare, mental health, paid family time, and long-term care — are displayed in their three-value form (employee, employer, combined) per the Option E convention. The platform's full architecture remains 4% employer plus 2% employee for healthcare (6% combined), 0.8% plus 0.5% for childcare (1.3% combined), 0.5% plus 0.3% for mental health (0.8% combined), 0.25% plus 0.15% for paid family time (0.4% combined), and 0.6% plus 0.4% for long-term care (1.0% combined). Tables and worked examples elsewhere in this document show whichever value is most relevant to the specific example (employee share when describing what appears on a paystub; combined when describing total household economic burden); the reader can convert between values using the architecture above. The Federal Fiscal Impact Analysis uses the combined rates throughout because that is what the federal program collects in aggregate.</w:t>
      </w:r>
    </w:p>
    <w:p>
      <w:pPr>
        <w:pStyle w:val="Heading1"/>
        <w:spacing w:after="240" w:before="480"/>
      </w:pPr>
      <w:r>
        <w:rPr>
          <w:rFonts w:ascii="Arial" w:cs="Arial" w:eastAsia="Arial" w:hAnsi="Arial"/>
          <w:b/>
          <w:bCs/>
          <w:color w:val="1F4E78"/>
          <w:sz w:val="36"/>
          <w:szCs w:val="36"/>
        </w:rPr>
        <w:t>Intangible Benefits Not Captured in the Tables</w:t>
      </w:r>
    </w:p>
    <w:p>
      <w:pPr>
        <w:spacing w:after="240" w:line="340"/>
        <w:jc w:val="both"/>
      </w:pPr>
      <w:r>
        <w:rPr>
          <w:rFonts w:ascii="Georgia" w:cs="Georgia" w:eastAsia="Georgia" w:hAnsi="Georgia"/>
          <w:color w:val="1A1A1A"/>
          <w:sz w:val="24"/>
          <w:szCs w:val="24"/>
        </w:rPr>
        <w:t>The dollar figures capture the financial impact of the platform on each scenario. They do not capture several categories of benefit that are real, that affect quality of life, and that for many households matter as much or more than the dollar figures. These benefits are described here qualitatively rather than monetized, both because converting them to dollars introduces double-counting risk and because their value depends on individual circumstances in ways an averaged dollar figure would obscure.</w:t>
      </w:r>
    </w:p>
    <w:p>
      <w:pPr>
        <w:pStyle w:val="Heading3"/>
        <w:spacing w:after="120" w:before="240"/>
      </w:pPr>
      <w:r>
        <w:rPr>
          <w:rFonts w:ascii="Arial" w:cs="Arial" w:eastAsia="Arial" w:hAnsi="Arial"/>
          <w:b/>
          <w:bCs/>
          <w:color w:val="C00000"/>
          <w:sz w:val="22"/>
          <w:szCs w:val="22"/>
        </w:rPr>
        <w:t>Time Recovered</w:t>
      </w:r>
    </w:p>
    <w:p>
      <w:pPr>
        <w:spacing w:after="240" w:line="340"/>
        <w:jc w:val="both"/>
      </w:pPr>
      <w:r>
        <w:rPr>
          <w:rFonts w:ascii="Georgia" w:cs="Georgia" w:eastAsia="Georgia" w:hAnsi="Georgia"/>
          <w:color w:val="1A1A1A"/>
          <w:sz w:val="24"/>
          <w:szCs w:val="24"/>
        </w:rPr>
        <w:t>American households currently spend roughly thirteen hours per year on tax compliance, ten to fifteen hours on healthcare administration, additional hours on childcare arrangements, and varying amounts navigating federal services. Across the platform's commitments, a typical household recovers thirty to fifty hours per year currently spent on administrative friction. The platform does not assign a dollar value to this time because doing so would either double-count tax-preparation savings already in the table or introduce arbitrary monetization.</w:t>
      </w:r>
    </w:p>
    <w:p>
      <w:pPr>
        <w:pStyle w:val="Heading3"/>
        <w:spacing w:after="120" w:before="240"/>
      </w:pPr>
      <w:r>
        <w:rPr>
          <w:rFonts w:ascii="Arial" w:cs="Arial" w:eastAsia="Arial" w:hAnsi="Arial"/>
          <w:b/>
          <w:bCs/>
          <w:color w:val="C00000"/>
          <w:sz w:val="22"/>
          <w:szCs w:val="22"/>
        </w:rPr>
        <w:t>Reduced Financial Anxiety</w:t>
      </w:r>
    </w:p>
    <w:p>
      <w:pPr>
        <w:spacing w:after="240" w:line="340"/>
        <w:jc w:val="both"/>
      </w:pPr>
      <w:r>
        <w:rPr>
          <w:rFonts w:ascii="Georgia" w:cs="Georgia" w:eastAsia="Georgia" w:hAnsi="Georgia"/>
          <w:color w:val="1A1A1A"/>
          <w:sz w:val="24"/>
          <w:szCs w:val="24"/>
        </w:rPr>
        <w:t>Medical bills are the leading cause of personal bankruptcy in the United States and a primary source of household financial anxiety. The platform's healthcare commitment eliminates medical bankruptcy as a category. Childcare cost uncertainty drives household financial planning stress for working parents. Identity theft, when it occurs, produces months of recovery work and ongoing anxiety. None of these reductions appear as line items in the tables; they are nonetheless real.</w:t>
      </w:r>
    </w:p>
    <w:p>
      <w:pPr>
        <w:pStyle w:val="Heading3"/>
        <w:spacing w:after="120" w:before="240"/>
      </w:pPr>
      <w:r>
        <w:rPr>
          <w:rFonts w:ascii="Arial" w:cs="Arial" w:eastAsia="Arial" w:hAnsi="Arial"/>
          <w:b/>
          <w:bCs/>
          <w:color w:val="C00000"/>
          <w:sz w:val="22"/>
          <w:szCs w:val="22"/>
        </w:rPr>
        <w:t>Peace of Mind from Universal Coverage</w:t>
      </w:r>
    </w:p>
    <w:p>
      <w:pPr>
        <w:spacing w:after="240" w:line="340"/>
        <w:jc w:val="both"/>
      </w:pPr>
      <w:r>
        <w:rPr>
          <w:rFonts w:ascii="Georgia" w:cs="Georgia" w:eastAsia="Georgia" w:hAnsi="Georgia"/>
          <w:color w:val="1A1A1A"/>
          <w:sz w:val="24"/>
          <w:szCs w:val="24"/>
        </w:rPr>
        <w:t>Citizens with employer-provided healthcare experience anxiety about coverage gaps during job transitions, the COBRA cost cliff, the financial pressure to remain in current jobs because of healthcare considerations. Citizens with employer-provided childcare experience similar anxieties when changing employers. Universal coverage commitments eliminate the dependency between employment and access to these services. This is a quality-of-life benefit even for citizens whose dollar arithmetic is roughly the same under either system.</w:t>
      </w:r>
    </w:p>
    <w:p>
      <w:pPr>
        <w:pStyle w:val="Heading3"/>
        <w:spacing w:after="120" w:before="240"/>
      </w:pPr>
      <w:r>
        <w:rPr>
          <w:rFonts w:ascii="Arial" w:cs="Arial" w:eastAsia="Arial" w:hAnsi="Arial"/>
          <w:b/>
          <w:bCs/>
          <w:color w:val="C00000"/>
          <w:sz w:val="22"/>
          <w:szCs w:val="22"/>
        </w:rPr>
        <w:t>Choice in Career and Family Decisions</w:t>
      </w:r>
    </w:p>
    <w:p>
      <w:pPr>
        <w:spacing w:after="240" w:line="340"/>
        <w:jc w:val="both"/>
      </w:pPr>
      <w:r>
        <w:rPr>
          <w:rFonts w:ascii="Georgia" w:cs="Georgia" w:eastAsia="Georgia" w:hAnsi="Georgia"/>
          <w:color w:val="1A1A1A"/>
          <w:sz w:val="24"/>
          <w:szCs w:val="24"/>
        </w:rPr>
        <w:t>When healthcare is tied to employment, the cost of leaving a current employer is higher than salary comparisons suggest, because transition introduces coverage risk. When childcare costs $1,500 per month per child, family decisions about second incomes, family size, and parental work schedules are constrained by childcare arithmetic. The platform expands the range of career and family decisions economically viable for working-class and middle-class households. Economists call this 'option value' — the value of being able to make choices the current system effectively forecloses.</w:t>
      </w:r>
    </w:p>
    <w:p>
      <w:pPr>
        <w:pStyle w:val="Heading3"/>
        <w:spacing w:after="120" w:before="240"/>
      </w:pPr>
      <w:r>
        <w:rPr>
          <w:rFonts w:ascii="Arial" w:cs="Arial" w:eastAsia="Arial" w:hAnsi="Arial"/>
          <w:b/>
          <w:bCs/>
          <w:color w:val="C00000"/>
          <w:sz w:val="22"/>
          <w:szCs w:val="22"/>
        </w:rPr>
        <w:t>Cumulative Lifetime Effects</w:t>
      </w:r>
    </w:p>
    <w:p>
      <w:pPr>
        <w:spacing w:after="240" w:line="340"/>
        <w:jc w:val="both"/>
      </w:pPr>
      <w:r>
        <w:rPr>
          <w:rFonts w:ascii="Georgia" w:cs="Georgia" w:eastAsia="Georgia" w:hAnsi="Georgia"/>
          <w:color w:val="1A1A1A"/>
          <w:sz w:val="24"/>
          <w:szCs w:val="24"/>
        </w:rPr>
        <w:t>The tables show annual figures. Over a forty-year working life, the platform's benefits compound substantially. For a household saving approximately $10,000 per year, the nominal sum at today's dollar values is $400,000. The platform's commitments tend to scale with the cost of the underlying services they replace, so household savings grow with general inflation rather than remaining fixed. Adjusting for an assumed 2.5% annual inflation rate, the cumulative nominal savings over forty years total approximately $674,000. The present value of those savings discounted at a 2% real rate (what the future savings are worth in today's purchasing power) is approximately $274,000. All three figures describe the same underlying benefit; they differ only in how future dollars are converted to comparable units. If the savings are invested or used to reduce debt rather than spent, the lifetime financial impact compounds further. The benefits to children of growing up with healthcare access, quality childcare, and the educational opportunities the platform supports compound across their lifetimes in ways that produce intergenerational effects the tables do not show.</w:t>
      </w:r>
    </w:p>
    <w:p>
      <w:pPr>
        <w:spacing w:after="240" w:line="340"/>
        <w:jc w:val="both"/>
      </w:pPr>
      <w:r>
        <w:rPr>
          <w:rFonts w:ascii="Georgia" w:cs="Georgia" w:eastAsia="Georgia" w:hAnsi="Georgia"/>
          <w:color w:val="1A1A1A"/>
          <w:sz w:val="24"/>
          <w:szCs w:val="24"/>
        </w:rPr>
        <w:t>These intangible benefits are honest acknowledgments of value the platform delivers that the tables cannot represent. Some readers will weight them heavily; others will discount them in favor of dollar arithmetic. Both approaches are reasonable. The platform's commitment is to be honest about what it delivers, including the value that does not show up in the comparison tables.</w:t>
      </w:r>
    </w:p>
    <w:p>
      <w:pPr>
        <w:pStyle w:val="Heading1"/>
        <w:spacing w:after="240" w:before="480"/>
      </w:pPr>
      <w:r>
        <w:rPr>
          <w:rFonts w:ascii="Arial" w:cs="Arial" w:eastAsia="Arial" w:hAnsi="Arial"/>
          <w:b/>
          <w:bCs/>
          <w:color w:val="1F4E78"/>
          <w:sz w:val="36"/>
          <w:szCs w:val="36"/>
        </w:rPr>
        <w:t xml:space="preserve">Important Caveats</w:t>
      </w:r>
    </w:p>
    <w:p>
      <w:pPr>
        <w:spacing w:after="240" w:line="340"/>
        <w:jc w:val="both"/>
      </w:pPr>
      <w:r>
        <w:rPr>
          <w:rFonts w:ascii="Georgia" w:cs="Georgia" w:eastAsia="Georgia" w:hAnsi="Georgia"/>
          <w:color w:val="1A1A1A"/>
          <w:sz w:val="24"/>
          <w:szCs w:val="24"/>
        </w:rPr>
        <w:t xml:space="preserve">The numbers in this document are honest but incomplete. Several factors that affect real tax situations aren't captured in these representative scenarios. Readers evaluating their own situations should understand these limitations.</w:t>
      </w:r>
    </w:p>
    <w:p>
      <w:pPr>
        <w:pStyle w:val="Heading3"/>
        <w:spacing w:after="120" w:before="240"/>
      </w:pPr>
      <w:r>
        <w:rPr>
          <w:rFonts w:ascii="Arial" w:cs="Arial" w:eastAsia="Arial" w:hAnsi="Arial"/>
          <w:b/>
          <w:bCs/>
          <w:color w:val="C00000"/>
          <w:sz w:val="22"/>
          <w:szCs w:val="22"/>
        </w:rPr>
        <w:t xml:space="preserve">State and local taxes are unchanged</w:t>
      </w:r>
    </w:p>
    <w:p>
      <w:pPr>
        <w:spacing w:after="200" w:line="320"/>
        <w:jc w:val="both"/>
      </w:pPr>
      <w:r>
        <w:rPr>
          <w:rFonts w:ascii="Georgia" w:cs="Georgia" w:eastAsia="Georgia" w:hAnsi="Georgia"/>
          <w:color w:val="1A1A1A"/>
          <w:sz w:val="22"/>
          <w:szCs w:val="22"/>
        </w:rPr>
        <w:t xml:space="preserve">This analysis covers federal taxation only. State income taxes, local taxes, property taxes, and sales taxes continue to apply under both systems. Workers in high-tax states (California, New York, New Jersey) have substantial state tax burdens that this comparison doesn't address. Workers in no-income-tax states (Texas, Florida, Tennessee) have lower total tax burdens than the federal-only comparison suggests. Some states might choose to mirror the platform's federal approach in their own tax codes; others might not. The platform's design doesn't require state coordination.</w:t>
      </w:r>
    </w:p>
    <w:p>
      <w:pPr>
        <w:pStyle w:val="Heading3"/>
        <w:spacing w:after="120" w:before="240"/>
      </w:pPr>
      <w:r>
        <w:rPr>
          <w:rFonts w:ascii="Arial" w:cs="Arial" w:eastAsia="Arial" w:hAnsi="Arial"/>
          <w:b/>
          <w:bCs/>
          <w:color w:val="C00000"/>
          <w:sz w:val="22"/>
          <w:szCs w:val="22"/>
        </w:rPr>
        <w:t xml:space="preserve">The transition years look different</w:t>
      </w:r>
    </w:p>
    <w:p>
      <w:pPr>
        <w:spacing w:after="200" w:line="320"/>
        <w:jc w:val="both"/>
      </w:pPr>
      <w:r>
        <w:rPr>
          <w:rFonts w:ascii="Georgia" w:cs="Georgia" w:eastAsia="Georgia" w:hAnsi="Georgia"/>
          <w:color w:val="1A1A1A"/>
          <w:sz w:val="22"/>
          <w:szCs w:val="22"/>
        </w:rPr>
        <w:t xml:space="preserve">These numbers represent the platform's mature steady-state operation — typically Years 10+ after enactment. During the build phase (Years 2-5), some platform contributions run in parallel with continued FICA before the old systems sunset. A worker in those years might temporarily pay both the platform contributions and continued FICA, which would substantially reduce their year-over-year savings during the transition. The mature savings shown here are real but emerge gradually rather than immediately upon enactment.</w:t>
      </w:r>
    </w:p>
    <w:p>
      <w:pPr>
        <w:pStyle w:val="Heading3"/>
        <w:spacing w:after="120" w:before="240"/>
      </w:pPr>
      <w:r>
        <w:rPr>
          <w:rFonts w:ascii="Arial" w:cs="Arial" w:eastAsia="Arial" w:hAnsi="Arial"/>
          <w:b/>
          <w:bCs/>
          <w:color w:val="C00000"/>
          <w:sz w:val="22"/>
          <w:szCs w:val="22"/>
        </w:rPr>
        <w:t xml:space="preserve">The wage floor varies by occupation</w:t>
      </w:r>
    </w:p>
    <w:p>
      <w:pPr>
        <w:spacing w:after="200" w:line="320"/>
        <w:jc w:val="both"/>
      </w:pPr>
      <w:r>
        <w:rPr>
          <w:rFonts w:ascii="Georgia" w:cs="Georgia" w:eastAsia="Georgia" w:hAnsi="Georgia"/>
          <w:color w:val="1A1A1A"/>
          <w:sz w:val="22"/>
          <w:szCs w:val="22"/>
        </w:rPr>
        <w:t xml:space="preserve">The numbers in this document use representative wage floors for each income level: $30,000 for low income, $38,000 for working class, $45,000 for middle class, $55,000 for upper-middle, $70,000 for high earners. Real wage floors vary substantially by occupation. A worker earning $100,000 in food service (with a wage floor around $28,000) sees a different exemption structure than a worker earning $100,000 in software engineering (with a floor around $85,000). The wage floor tax architecture's design makes occupation matter for tax calculation, which is part of its appeal but adds complexity not captured in these representative numbers.</w:t>
      </w:r>
    </w:p>
    <w:p>
      <w:pPr>
        <w:pStyle w:val="Heading3"/>
        <w:spacing w:after="120" w:before="240"/>
      </w:pPr>
      <w:r>
        <w:rPr>
          <w:rFonts w:ascii="Arial" w:cs="Arial" w:eastAsia="Arial" w:hAnsi="Arial"/>
          <w:b/>
          <w:bCs/>
          <w:color w:val="C00000"/>
          <w:sz w:val="22"/>
          <w:szCs w:val="22"/>
        </w:rPr>
        <w:t xml:space="preserve">Healthcare premium estimates are averages</w:t>
      </w:r>
    </w:p>
    <w:p>
      <w:pPr>
        <w:spacing w:after="200" w:line="320"/>
        <w:jc w:val="both"/>
      </w:pPr>
      <w:r>
        <w:rPr>
          <w:rFonts w:ascii="Georgia" w:cs="Georgia" w:eastAsia="Georgia" w:hAnsi="Georgia"/>
          <w:color w:val="1A1A1A"/>
          <w:sz w:val="22"/>
          <w:szCs w:val="22"/>
        </w:rPr>
        <w:t xml:space="preserve">The current system health insurance premium amounts ($1,400 single, $4,500 single+kids, $6,575 family) are averages from KFF surveys. Actual premiums vary substantially by employer (companies with large workforces typically pay higher percentages of premiums than small employers), by region (rural areas often face higher premiums), and by plan type (HSA-eligible plans have lower premiums but higher deductibles). Workers without employer-sponsored coverage face substantially higher premiums on individual market plans (often $5,000-$10,000+ per year for individual coverage). The platform's universal coverage eliminates this variation, but the comparison numbers reflect averages that may not match individual circumstances.</w:t>
      </w:r>
    </w:p>
    <w:p>
      <w:pPr>
        <w:pStyle w:val="Heading3"/>
        <w:spacing w:after="120" w:before="240"/>
      </w:pPr>
      <w:r>
        <w:rPr>
          <w:rFonts w:ascii="Arial" w:cs="Arial" w:eastAsia="Arial" w:hAnsi="Arial"/>
          <w:b/>
          <w:bCs/>
          <w:color w:val="C00000"/>
          <w:sz w:val="22"/>
          <w:szCs w:val="22"/>
        </w:rPr>
        <w:t xml:space="preserve">The Sovereign Fund accumulation is real but not 'spent' annually</w:t>
      </w:r>
    </w:p>
    <w:p>
      <w:pPr>
        <w:spacing w:after="200" w:line="320"/>
        <w:jc w:val="both"/>
      </w:pPr>
      <w:r>
        <w:rPr>
          <w:rFonts w:ascii="Georgia" w:cs="Georgia" w:eastAsia="Georgia" w:hAnsi="Georgia"/>
          <w:color w:val="1A1A1A"/>
          <w:sz w:val="22"/>
          <w:szCs w:val="22"/>
        </w:rPr>
        <w:t xml:space="preserve">Part of the platform contributions flows into individual Sovereign Fund balances rather than being consumed in the year. This is similar to how Social Security taxes today fund future benefits, but the Sovereign Fund's accumulation is more transparent and produces individual account balances rather than aggregate trust fund commitments. The numbers in this document don't credit the Sovereign Fund accumulation as a benefit (since it's not received in the year), but it represents real personal wealth accumulation that the current system doesn't produce as effectively.</w:t>
      </w:r>
    </w:p>
    <w:p>
      <w:pPr>
        <w:pStyle w:val="Heading3"/>
        <w:spacing w:after="120" w:before="240"/>
      </w:pPr>
      <w:r>
        <w:rPr>
          <w:rFonts w:ascii="Arial" w:cs="Arial" w:eastAsia="Arial" w:hAnsi="Arial"/>
          <w:b/>
          <w:bCs/>
          <w:color w:val="C00000"/>
          <w:sz w:val="22"/>
          <w:szCs w:val="22"/>
        </w:rPr>
        <w:t xml:space="preserve">Behavioral effects could shift things</w:t>
      </w:r>
    </w:p>
    <w:p>
      <w:pPr>
        <w:spacing w:after="200" w:line="320"/>
        <w:jc w:val="both"/>
      </w:pPr>
      <w:r>
        <w:rPr>
          <w:rFonts w:ascii="Georgia" w:cs="Georgia" w:eastAsia="Georgia" w:hAnsi="Georgia"/>
          <w:color w:val="1A1A1A"/>
          <w:sz w:val="22"/>
          <w:szCs w:val="22"/>
        </w:rPr>
        <w:t xml:space="preserve">The platform's design changes incentives in ways that affect actual revenue and individual behavior. Workers who currently optimize aggressively against the standard deduction might optimize differently against the wage floor exemption. Some workers might shift the timing of income recognition. Some self-employed workers might restructure their business arrangements. These behavioral effects are not captured in static scenario analysis. Real implementation would produce some variation from these projected numbers in directions that depend on actual behavior changes.</w:t>
      </w:r>
    </w:p>
    <w:p>
      <w:pPr>
        <w:pStyle w:val="Heading3"/>
        <w:spacing w:after="120" w:before="240"/>
      </w:pPr>
      <w:r>
        <w:rPr>
          <w:rFonts w:ascii="Arial" w:cs="Arial" w:eastAsia="Arial" w:hAnsi="Arial"/>
          <w:b/>
          <w:bCs/>
          <w:color w:val="C00000"/>
          <w:sz w:val="22"/>
          <w:szCs w:val="22"/>
        </w:rPr>
        <w:t xml:space="preserve">These scenarios are illustrative, not predictive</w:t>
      </w:r>
    </w:p>
    <w:p>
      <w:pPr>
        <w:spacing w:after="200" w:line="320"/>
        <w:jc w:val="both"/>
      </w:pPr>
      <w:r>
        <w:rPr>
          <w:rFonts w:ascii="Georgia" w:cs="Georgia" w:eastAsia="Georgia" w:hAnsi="Georgia"/>
          <w:color w:val="1A1A1A"/>
          <w:sz w:val="22"/>
          <w:szCs w:val="22"/>
        </w:rPr>
        <w:t xml:space="preserve">The scenarios represent typical configurations rather than exhaustive coverage. Real tax situations involve specific factors — 401(k) contributions, IRA contributions, HSA contributions, capital gains, dividend income, business income, rental income, mortgage interest deductions, state and local tax deductions, charitable contributions, and many others — that this document doesn't model. A reader's actual tax situation under either system will differ from the scenarios shown. The directional pattern (savings for working-class and middle-class workers, modest changes for high earners) holds across most realistic configurations, but the specific dollar amounts shouldn't be treated as predictions for any specific reader's situation.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The honest summary: these numbers are accurate enough to demonstrate the directional pattern of who benefits and who doesn't under the platform. They are not accurate enough to substitute for individual tax planning or to make precise predictions about any specific reader's tax bill. Treat them as illustrative of the platform's effects, not as the answer to 'what will my taxes be under the platform.'</w:t>
            </w:r>
          </w:p>
        </w:tc>
      </w:tr>
    </w:tbl>
    <w:p>
      <w:r>
        <w:br w:type="page"/>
      </w:r>
    </w:p>
    <w:p>
      <w:pPr>
        <w:pStyle w:val="Heading1"/>
        <w:spacing w:after="240" w:before="480"/>
      </w:pPr>
      <w:r>
        <w:rPr>
          <w:rFonts w:ascii="Arial" w:cs="Arial" w:eastAsia="Arial" w:hAnsi="Arial"/>
          <w:b/>
          <w:bCs/>
          <w:color w:val="1F4E78"/>
          <w:sz w:val="36"/>
          <w:szCs w:val="36"/>
        </w:rPr>
        <w:t>How the Federal Infrastructure Fee Affects You</w:t>
      </w:r>
    </w:p>
    <w:p>
      <w:pPr>
        <w:spacing w:after="240" w:line="340"/>
        <w:jc w:val="both"/>
      </w:pPr>
      <w:r>
        <w:rPr>
          <w:rFonts w:ascii="Georgia" w:cs="Georgia" w:eastAsia="Georgia" w:hAnsi="Georgia"/>
          <w:color w:val="1A1A1A"/>
          <w:sz w:val="24"/>
          <w:szCs w:val="24"/>
        </w:rPr>
        <w:t>v2.26 introduced the Federal Infrastructure Fee which establishes federal ownership of broadband and cellular infrastructure with companies paying a fee for using it. The fee replaces the Universal Service Fund and consolidates state telecom taxes into a single federal mechanism. The fee affects you in two ways depending on whether you are a household or a small business.</w:t>
      </w:r>
    </w:p>
    <w:p>
      <w:pPr>
        <w:spacing w:after="240" w:line="340"/>
        <w:jc w:val="both"/>
      </w:pPr>
      <w:r>
        <w:rPr>
          <w:rFonts w:ascii="Georgia" w:cs="Georgia" w:eastAsia="Georgia" w:hAnsi="Georgia"/>
          <w:color w:val="1A1A1A"/>
          <w:sz w:val="24"/>
          <w:szCs w:val="24"/>
        </w:rPr>
        <w:t>If you are a household. You receive free basic broadband under the platform's universal broadband commitment regardless of the fee architecture. You no longer pay USF (Universal Service Fund) contributions on your phone or internet bill (those go away). Companies may pass some portion of the infrastructure fee to consumers through pricing, with the Federal Infrastructure Fee document estimating approximately fifteen to thirty percent of the fee falls on consumers via pass-through. On a typical household basis, this would translate to less than ten dollars per month — substantially less than what you currently pay in USF and state telecom taxes which the fee replaces. The platform's pass-through prevention mechanisms (transparency requirements, FTC oversight, market structure remedies, and existing regulated-industry rate review processes) constrain pass-through to commercially reasonable levels.</w:t>
      </w:r>
    </w:p>
    <w:p>
      <w:pPr>
        <w:spacing w:after="240" w:line="340"/>
        <w:jc w:val="both"/>
      </w:pPr>
      <w:r>
        <w:rPr>
          <w:rFonts w:ascii="Georgia" w:cs="Georgia" w:eastAsia="Georgia" w:hAnsi="Georgia"/>
          <w:color w:val="1A1A1A"/>
          <w:sz w:val="24"/>
          <w:szCs w:val="24"/>
        </w:rPr>
        <w:t>If you are a small business owner. The Federal Infrastructure Fee uses a hybrid structure with three components: a six-hundred-dollar-per-year per-location fee, a one-hundred-seventy-five-dollar-per-year per-employee fee that exempts your first twenty-five employees, and a zero-point-zero-three-five percent surcharge on revenue above fifty million dollars per year. For a typical small business with eight employees, one location, and one and a half million dollars in revenue, the fee is six hundred dollars per year (location fee only — no employee fee due to the twenty-five-employee exemption, no revenue surcharge due to the fifty million dollar threshold). This is approximately what your current state telecom taxes plus USF surcharges already cost; the fee replaces both. For a medium business with seventy-five employees, two locations, and twenty million dollars in revenue, the fee is approximately ten thousand dollars per year. Worked examples for various company profiles are documented in the Federal Infrastructure Fee document.</w:t>
      </w:r>
    </w:p>
    <w:p>
      <w:pPr>
        <w:spacing w:after="240" w:line="340"/>
        <w:jc w:val="both"/>
      </w:pPr>
      <w:r>
        <w:rPr>
          <w:rFonts w:ascii="Georgia" w:cs="Georgia" w:eastAsia="Georgia" w:hAnsi="Georgia"/>
          <w:color w:val="1A1A1A"/>
          <w:sz w:val="24"/>
          <w:szCs w:val="24"/>
        </w:rPr>
        <w:t>If you are a public-purpose entity employee or supporter. Public hospitals, public schools, public libraries, public safety entities, tribal nation governments, public housing authorities, public transit agencies, and federal/state/local government agencies are exempt from the fee. For-profit equivalents (for-profit hospital chains, for-profit schools, private security companies, investor-owned utilities, private prisons) pay the fee. The exemption framework recognizes that charging fees to other federally-funded entities creates administrative drag without economic substance.</w:t>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This document has translated the platform's tax architecture from policy abstraction into personal financial information. Readers can now look at the scenario closest to their own situation and see what the platform would mean for their tax bill.</w:t>
      </w:r>
    </w:p>
    <w:p>
      <w:pPr>
        <w:spacing w:after="200" w:line="320"/>
        <w:jc w:val="both"/>
      </w:pPr>
      <w:r>
        <w:rPr>
          <w:rFonts w:ascii="Georgia" w:cs="Georgia" w:eastAsia="Georgia" w:hAnsi="Georgia"/>
          <w:color w:val="1A1A1A"/>
          <w:sz w:val="22"/>
          <w:szCs w:val="22"/>
        </w:rPr>
        <w:t xml:space="preserve">The pattern is clear and consistent across the full income range. Working-class workers (earning $20,000-$50,000) save 65-88% on their federal cost. Middle-class workers (earning $75,000-$150,000) save 40-79%. Upper-middle-class workers ($200,000-$500,000) save modestly, in the 4-15% range, with effects varying by filer category and dependent counts. High earners ($500,000-$1,000,000) see results ranging from small savings for some MFJ scenarios to small increases for single filers. Households earning above $1 million pay meaningfully more under the platform, with increases ranging from 1-23% depending on filer status and income level. The savings are largest in absolute dollar terms for middle-class families with children, who see annual savings ranging from $9,000 to $15,000 depending on filer category and household size.</w:t>
      </w:r>
    </w:p>
    <w:p>
      <w:pPr>
        <w:spacing w:after="200" w:line="320"/>
        <w:jc w:val="both"/>
      </w:pPr>
      <w:r>
        <w:rPr>
          <w:rFonts w:ascii="Georgia" w:cs="Georgia" w:eastAsia="Georgia" w:hAnsi="Georgia"/>
          <w:color w:val="1A1A1A"/>
          <w:sz w:val="22"/>
          <w:szCs w:val="22"/>
        </w:rPr>
        <w:t xml:space="preserve">The savings come from a combination of three sources: (1) the wage floor exemption replaces the standard deduction with a much-larger occupation-specific exemption for most workers, (2) FICA is replaced by lower-rate platform pillar contributions, and (3) health insurance premiums are eliminated entirely as universal healthcare replaces employer-sponsored insurance. The funding for these savings comes from administrative simplification (most of it), pharmaceutical pricing reform, the Sovereign Fund's investment returns, and modest additional contributions from high earners through the surcharge architecture.</w:t>
      </w:r>
    </w:p>
    <w:p>
      <w:pPr>
        <w:spacing w:after="200" w:line="320"/>
        <w:jc w:val="both"/>
      </w:pPr>
      <w:r>
        <w:rPr>
          <w:rFonts w:ascii="Georgia" w:cs="Georgia" w:eastAsia="Georgia" w:hAnsi="Georgia"/>
          <w:color w:val="1A1A1A"/>
          <w:sz w:val="22"/>
          <w:szCs w:val="22"/>
        </w:rPr>
        <w:t xml:space="preserve">The trade-offs are real but moderate. High earners pay somewhat more, with the increase ranging from a few thousand dollars to tens of thousands depending on income level. The platform doesn't produce dramatic redistribution through tax architecture alone; it produces dramatic restructuring of how working-class and middle-class workers receive value. Most of the savings emerge because the current system spends an enormous amount on administrative overhead that the platform's architecture eliminates.</w:t>
      </w:r>
    </w:p>
    <w:p>
      <w:pPr>
        <w:spacing w:after="200" w:line="320"/>
        <w:jc w:val="both"/>
      </w:pPr>
      <w:r>
        <w:rPr>
          <w:rFonts w:ascii="Georgia" w:cs="Georgia" w:eastAsia="Georgia" w:hAnsi="Georgia"/>
          <w:color w:val="1A1A1A"/>
          <w:sz w:val="22"/>
          <w:szCs w:val="22"/>
        </w:rPr>
        <w:t xml:space="preserve">Readers who find the savings appealing should engage with the platform's other documents to understand the full architecture. Readers who find the high-earner increases concerning should engage with the platform's analytical foundation to understand whether the trade-offs are genuinely necessary or could be modified. Either way, this document has provided what was missing: the personal financial translation of policy proposals into actual numbers for your situation.</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 asks: what would American economic life look like if working-class and middle-class workers received what they need without paying for what they currently pay? This document answers, in dollars: substantially better, with savings that range from a few thousand to over fourteen thousand dollars per year for typical American households.”</w:t>
            </w:r>
          </w:p>
        </w:tc>
      </w:tr>
    </w:tbl>
    <w:p>
      <w:pPr>
        <w:spacing w:after="400"/>
      </w:pPr>
      <w:r>
        <w:t xml:space="preserve"/>
      </w:r>
    </w:p>
    <w:p>
      <w:pPr>
        <w:spacing w:after="200" w:line="320"/>
        <w:jc w:val="both"/>
      </w:pPr>
      <w:r>
        <w:rPr>
          <w:rFonts w:ascii="Georgia" w:cs="Georgia" w:eastAsia="Georgia" w:hAnsi="Georgia"/>
          <w:color w:val="1A1A1A"/>
          <w:sz w:val="22"/>
          <w:szCs w:val="22"/>
        </w:rPr>
        <w:t xml:space="preserve">This document is offered as a starting point for personal evaluation. Readers should test it against their own situations, identify where the scenarios match their lives and where they diverge, and form their own assessment of what the platform would mean for them. The platform's success ultimately depends on whether enough Americans see substantive benefit to support its enactment. This document provides the personal-level information needed to make that assessment.</w:t>
      </w:r>
    </w:p>
    <w:p>
      <w:pPr>
        <w:spacing w:after="8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p>
      <w:pPr>
        <w:pStyle w:val="Heading1"/>
        <w:spacing w:after="240" w:before="480"/>
      </w:pPr>
      <w:r>
        <w:rPr>
          <w:rFonts w:ascii="Arial" w:cs="Arial" w:eastAsia="Arial" w:hAnsi="Arial"/>
          <w:b/>
          <w:bCs/>
          <w:color w:val="1F4E78"/>
          <w:sz w:val="36"/>
          <w:szCs w:val="36"/>
        </w:rPr>
        <w:t>Cross-References for Specific Household Situations</w:t>
      </w:r>
    </w:p>
    <w:p>
      <w:pPr>
        <w:spacing w:after="240" w:line="340"/>
        <w:jc w:val="both"/>
      </w:pPr>
      <w:r>
        <w:rPr>
          <w:rFonts w:ascii="Georgia" w:cs="Georgia" w:eastAsia="Georgia" w:hAnsi="Georgia"/>
          <w:color w:val="1A1A1A"/>
          <w:sz w:val="24"/>
          <w:szCs w:val="24"/>
        </w:rPr>
        <w:t>This document covers a range of typical household scenarios but treats each as a single filer or married-filing-jointly working household. The platform's treatment varies meaningfully for households outside these typical patterns. Readers whose household matches one of the situations below should consult the relevant analytical framing document for situation-specific analysis.</w:t>
      </w:r>
    </w:p>
    <w:p>
      <w:pPr>
        <w:spacing w:after="240" w:line="340"/>
        <w:jc w:val="both"/>
      </w:pPr>
      <w:r>
        <w:rPr>
          <w:rFonts w:ascii="Georgia" w:cs="Georgia" w:eastAsia="Georgia" w:hAnsi="Georgia"/>
          <w:color w:val="1A1A1A"/>
          <w:sz w:val="24"/>
          <w:szCs w:val="24"/>
        </w:rPr>
        <w:t>Retiree households: Existing Pensioners and the Platform. Retirement income is treated by the wage floor exemption through standard architecture, but the broader household savings figures in this document depend on labor income.</w:t>
      </w:r>
    </w:p>
    <w:p>
      <w:pPr>
        <w:spacing w:after="240" w:line="340"/>
        <w:jc w:val="both"/>
      </w:pPr>
      <w:r>
        <w:rPr>
          <w:rFonts w:ascii="Georgia" w:cs="Georgia" w:eastAsia="Georgia" w:hAnsi="Georgia"/>
          <w:color w:val="1A1A1A"/>
          <w:sz w:val="24"/>
          <w:szCs w:val="24"/>
        </w:rPr>
        <w:t>Cohabiting couples: Cohabiting Unmarried Couples. Cohabiting couples are treated as separate filers, producing different outcomes from the MFJ examples here.</w:t>
      </w:r>
    </w:p>
    <w:p>
      <w:pPr>
        <w:spacing w:after="240" w:line="340"/>
        <w:jc w:val="both"/>
      </w:pPr>
      <w:r>
        <w:rPr>
          <w:rFonts w:ascii="Georgia" w:cs="Georgia" w:eastAsia="Georgia" w:hAnsi="Georgia"/>
          <w:color w:val="1A1A1A"/>
          <w:sz w:val="24"/>
          <w:szCs w:val="24"/>
        </w:rPr>
        <w:t>Multigenerational households: Multigenerational Households. Three-generation households and households with adult children or grandparents-raising-grandchildren have specific Bridge Credit and dependent allocation considerations.</w:t>
      </w:r>
    </w:p>
    <w:p>
      <w:pPr>
        <w:spacing w:after="240" w:line="340"/>
        <w:jc w:val="both"/>
      </w:pPr>
      <w:r>
        <w:rPr>
          <w:rFonts w:ascii="Georgia" w:cs="Georgia" w:eastAsia="Georgia" w:hAnsi="Georgia"/>
          <w:color w:val="1A1A1A"/>
          <w:sz w:val="24"/>
          <w:szCs w:val="24"/>
        </w:rPr>
        <w:t>Public-sector workers: Public-Sector Worker Transitions. Federal employees with FEHB (Federal Employees Health Benefits), military families with TRICARE, FERS retirees, and Section 218 non-covered state workers experience the platform differently from private-sector workers.</w:t>
      </w:r>
    </w:p>
    <w:p>
      <w:pPr>
        <w:spacing w:after="240" w:line="340"/>
        <w:jc w:val="both"/>
      </w:pPr>
      <w:r>
        <w:rPr>
          <w:rFonts w:ascii="Georgia" w:cs="Georgia" w:eastAsia="Georgia" w:hAnsi="Georgia"/>
          <w:color w:val="1A1A1A"/>
          <w:sz w:val="24"/>
          <w:szCs w:val="24"/>
        </w:rPr>
        <w:t>Section 8 households: Section 8 Housing and Federal Housing Assistance. Universal childcare and universal healthcare interact with HUD income calculations in ways that produce an apparent rent increase even though total household economic position improves. Item 69 documents this dynamic and outlines communication needs.</w:t>
      </w:r>
    </w:p>
    <w:p>
      <w:pPr>
        <w:spacing w:after="240" w:line="340"/>
        <w:jc w:val="both"/>
      </w:pPr>
      <w:r>
        <w:rPr>
          <w:rFonts w:ascii="Georgia" w:cs="Georgia" w:eastAsia="Georgia" w:hAnsi="Georgia"/>
          <w:color w:val="1A1A1A"/>
          <w:sz w:val="24"/>
          <w:szCs w:val="24"/>
        </w:rPr>
        <w:t>TANF (Temporary Assistance for Needy Families) families: TANF and Cash Assistance. Universal childcare and universal healthcare substantially modify the calculation of work requirements, sanctions, and the lifetime time limit. Item 70 outlines three design directions the platform faces.</w:t>
      </w:r>
    </w:p>
    <w:p>
      <w:pPr>
        <w:spacing w:after="240" w:line="340"/>
        <w:jc w:val="both"/>
      </w:pPr>
      <w:r>
        <w:rPr>
          <w:rFonts w:ascii="Georgia" w:cs="Georgia" w:eastAsia="Georgia" w:hAnsi="Georgia"/>
          <w:color w:val="1A1A1A"/>
          <w:sz w:val="24"/>
          <w:szCs w:val="24"/>
        </w:rPr>
        <w:t>Non-citizen and mixed-status families: Non-Citizens And Platform Eligibility. The platform's eligibility design for unauthorized workers, mixed-status families, and lawful permanent residents has substantial open questions that the Non-Citizens And Platform Eligibility document covers.</w:t>
      </w:r>
    </w:p>
    <w:p>
      <w:pPr>
        <w:spacing w:after="240" w:line="340"/>
        <w:jc w:val="both"/>
      </w:pPr>
      <w:r>
        <w:rPr>
          <w:rFonts w:ascii="Georgia" w:cs="Georgia" w:eastAsia="Georgia" w:hAnsi="Georgia"/>
          <w:color w:val="1A1A1A"/>
          <w:sz w:val="24"/>
          <w:szCs w:val="24"/>
        </w:rPr>
        <w:t>Territorial residents: US Territories and the Platform. Federal income tax architecture varies substantially across the five inhabited territories.</w:t>
      </w:r>
    </w:p>
    <w:p>
      <w:pPr>
        <w:pStyle w:val="Heading1"/>
        <w:spacing w:after="240" w:before="480"/>
      </w:pPr>
      <w:r>
        <w:rPr>
          <w:rFonts w:ascii="Arial" w:cs="Arial" w:eastAsia="Arial" w:hAnsi="Arial"/>
          <w:b/>
          <w:bCs/>
          <w:color w:val="1F4E78"/>
          <w:sz w:val="36"/>
          <w:szCs w:val="36"/>
        </w:rPr>
        <w:t>Small-Business Year-by-Year Transition Timeline</w:t>
      </w:r>
    </w:p>
    <w:p>
      <w:pPr>
        <w:spacing w:before="480"/>
        <w:jc w:val="center"/>
      </w:pPr>
      <w:r>
        <w:rPr>
          <w:rFonts w:ascii="Arial" w:cs="Arial" w:eastAsia="Arial" w:hAnsi="Arial"/>
          <w:i/>
          <w:iCs/>
          <w:color w:val="595959"/>
          <w:sz w:val="16"/>
          <w:szCs w:val="16"/>
        </w:rPr>
        <w:t>This section addresses a transition-timeline-compressed finding from the v3.1.0 small-business-owner persona simulation. Small business owners planning capital expenditures over 3-5 years would benefit from a year-by-year timeline of what changes and when. This section provides that timeline at the level of detail a small business needs for capital-allocation planning.</w:t>
      </w:r>
    </w:p>
    <w:p>
      <w:pPr>
        <w:spacing w:before="480"/>
        <w:jc w:val="center"/>
      </w:pPr>
      <w:r>
        <w:rPr>
          <w:rFonts w:ascii="Arial" w:cs="Arial" w:eastAsia="Arial" w:hAnsi="Arial"/>
          <w:i/>
          <w:iCs/>
          <w:color w:val="595959"/>
          <w:sz w:val="16"/>
          <w:szCs w:val="16"/>
        </w:rPr>
        <w:t>Year 1 (enactment year). Federal Infrastructure Fee becomes operative; small businesses begin paying FIF on telecommunications services consumption (reduced-fee schedule for businesses under the small-business size threshold). State-level telecom-tax patchwork begins consolidating; some state-level telecom taxes discontinue immediately, others continue through state-level transition periods. Universal healthcare contributions begin for businesses with employees; small businesses see a payroll change of 4 percent employer contribution. Wage-floor architecture becomes operative; federal income tax on employees structurally below their occupational wage floor falls to zero (employee-side effect, not employer-side, but small-business owners often pay themselves through W-2 and see this directly).</w:t>
      </w:r>
    </w:p>
    <w:p>
      <w:pPr>
        <w:spacing w:before="480"/>
        <w:jc w:val="center"/>
      </w:pPr>
      <w:r>
        <w:rPr>
          <w:rFonts w:ascii="Arial" w:cs="Arial" w:eastAsia="Arial" w:hAnsi="Arial"/>
          <w:i/>
          <w:iCs/>
          <w:color w:val="595959"/>
          <w:sz w:val="16"/>
          <w:szCs w:val="16"/>
        </w:rPr>
        <w:t>Year 2-3 (early adjustment period). State-level telecom tax consolidation completes in most states; small businesses see net telecom-tax burden reduce relative to Year 1 (FIF rate plus remaining state-level fees combined are typically lower than pre-transition state telecom tax). Healthcare contribution rate remains stable at 4/2 split. Calculator-based FIF estimation becomes routine annual planning step; small businesses incorporate FIF rate into recurring telecom budget. Universal healthcare transition continues; small businesses begin to see private-health-insurance cost savings as employees transition to universal coverage (employer-side savings appear when current health-insurance contracts expire).</w:t>
      </w:r>
    </w:p>
    <w:p>
      <w:pPr>
        <w:spacing w:before="480"/>
        <w:jc w:val="center"/>
      </w:pPr>
      <w:r>
        <w:rPr>
          <w:rFonts w:ascii="Arial" w:cs="Arial" w:eastAsia="Arial" w:hAnsi="Arial"/>
          <w:i/>
          <w:iCs/>
          <w:color w:val="595959"/>
          <w:sz w:val="16"/>
          <w:szCs w:val="16"/>
        </w:rPr>
        <w:t>Year 4-5 (steady state approaches). Universal healthcare transition completes for most employees; small businesses see substantial reduction in private-health-insurance employer contribution obligations. Net employer-side cost reduction (eliminated private health premiums minus added universal healthcare contribution) produces a structural cost reduction for small businesses with employees, with magnitude depending on prior health-insurance structure. Sovereign Fund accumulation becomes visible at the household level; employees report higher net household financial security, which improves recruitment and retention for small businesses competing on benefits packages.</w:t>
      </w:r>
    </w:p>
    <w:p>
      <w:pPr>
        <w:spacing w:before="480"/>
        <w:jc w:val="center"/>
      </w:pPr>
      <w:r>
        <w:rPr>
          <w:rFonts w:ascii="Arial" w:cs="Arial" w:eastAsia="Arial" w:hAnsi="Arial"/>
          <w:i/>
          <w:iCs/>
          <w:color w:val="595959"/>
          <w:sz w:val="16"/>
          <w:szCs w:val="16"/>
        </w:rPr>
        <w:t>Year 6-10 (steady state). Platform operates in steady state. Small businesses see the platform's full structural effect: predictable infrastructure costs through FIF; reduced healthcare administration through universal coverage; stable wage-floor architecture for federal income tax; employee retention benefits from Sovereign Fund accumulation; reduced multi-jurisdiction compliance burden from telecom-tax consolidation. Capital-allocation decisions during this period are made against stable platform parameters rather than transition-uncertainty parameters.</w:t>
      </w:r>
    </w:p>
    <w:p>
      <w:pPr>
        <w:spacing w:before="480"/>
        <w:jc w:val="center"/>
      </w:pPr>
      <w:r>
        <w:rPr>
          <w:rFonts w:ascii="Arial" w:cs="Arial" w:eastAsia="Arial" w:hAnsi="Arial"/>
          <w:i/>
          <w:iCs/>
          <w:color w:val="595959"/>
          <w:sz w:val="16"/>
          <w:szCs w:val="16"/>
        </w:rPr>
        <w:t>Why this timeline matters. Small business owners' anxiety about transition periods centers on capital-allocation risk: making capital decisions while platform parameters are still adjusting. The year-by-year timeline above shows that platform parameters stabilize within roughly five years and that the steady-state operation is structurally favorable for typical small businesses. Capital decisions made in Year 1-2 face the highest transition-uncertainty; decisions made in Year 4-5 face mostly steady-state parameters; decisions made Year 6+ operate in fully-stabilized platform structure. Specific timeline milestones may shift modestly based on enactment-path details and state-level transition speeds; the architectural intent is stability within five years.</w:t>
      </w:r>
    </w:p>
    <w:p>
      <w:pPr>
        <w:pStyle w:val="Heading1"/>
        <w:spacing w:after="240" w:before="480"/>
      </w:pPr>
      <w:r>
        <w:rPr>
          <w:rFonts w:ascii="Arial" w:cs="Arial" w:eastAsia="Arial" w:hAnsi="Arial"/>
          <w:b/>
          <w:bCs/>
          <w:color w:val="1F4E78"/>
          <w:sz w:val="36"/>
          <w:szCs w:val="36"/>
        </w:rPr>
        <w:t>Healthcare Transition Frequently Asked Questions</w:t>
      </w:r>
    </w:p>
    <w:p>
      <w:pPr>
        <w:spacing w:before="480"/>
        <w:jc w:val="center"/>
      </w:pPr>
      <w:r>
        <w:rPr>
          <w:rFonts w:ascii="Arial" w:cs="Arial" w:eastAsia="Arial" w:hAnsi="Arial"/>
          <w:i/>
          <w:iCs/>
          <w:color w:val="595959"/>
          <w:sz w:val="16"/>
          <w:szCs w:val="16"/>
        </w:rPr>
        <w:t>This section addresses a healthcare-transition-anxiety finding from the v3.1.0 concerned-citizen persona simulation. Healthcare transition is a high-anxiety topic and the platform's general treatment is high-level. This section addresses concrete worries in frequently-asked-question format.</w:t>
      </w:r>
    </w:p>
    <w:p>
      <w:pPr>
        <w:spacing w:before="480"/>
        <w:jc w:val="center"/>
      </w:pPr>
      <w:r>
        <w:rPr>
          <w:rFonts w:ascii="Arial" w:cs="Arial" w:eastAsia="Arial" w:hAnsi="Arial"/>
          <w:i/>
          <w:iCs/>
          <w:color w:val="595959"/>
          <w:sz w:val="16"/>
          <w:szCs w:val="16"/>
        </w:rPr>
        <w:t>What happens to my current doctor? Universal healthcare under the platform does not change the doctor-patient relationship. The platform is a coverage-and-financing change rather than a delivery-system change. Your current doctor continues to be your doctor; the change is what payment system covers the visit. Doctors and clinics that accept patients today continue to accept patients under the platform. The platform's payment rates to providers are set through a transparent process documented in the Healthcare Transition Detailed Plan; the rates are designed to be sustainable for current providers rather than to disrupt the existing provider workforce.</w:t>
      </w:r>
    </w:p>
    <w:p>
      <w:pPr>
        <w:spacing w:before="480"/>
        <w:jc w:val="center"/>
      </w:pPr>
      <w:r>
        <w:rPr>
          <w:rFonts w:ascii="Arial" w:cs="Arial" w:eastAsia="Arial" w:hAnsi="Arial"/>
          <w:i/>
          <w:iCs/>
          <w:color w:val="595959"/>
          <w:sz w:val="16"/>
          <w:szCs w:val="16"/>
        </w:rPr>
        <w:t>What happens to my prescriptions? Prescription-drug coverage under universal healthcare is comprehensive; the formulary structure is designed to maintain access to medications you currently take. Specifically: medications currently on common formularies (the drugs most insurance plans cover) remain available; specialty medications follow a structured authorization process (similar to current prior-authorization but with more transparent criteria); medications in active development or recently approved follow the standard FDA-approval-to-formulary timeline. If your medication is currently covered by your insurance, it is extremely likely to be covered under universal healthcare; specific exceptions would be rare and structured.</w:t>
      </w:r>
    </w:p>
    <w:p>
      <w:pPr>
        <w:spacing w:before="480"/>
        <w:jc w:val="center"/>
      </w:pPr>
      <w:r>
        <w:rPr>
          <w:rFonts w:ascii="Arial" w:cs="Arial" w:eastAsia="Arial" w:hAnsi="Arial"/>
          <w:i/>
          <w:iCs/>
          <w:color w:val="595959"/>
          <w:sz w:val="16"/>
          <w:szCs w:val="16"/>
        </w:rPr>
        <w:t>What happens to my employer's plan? Employer-sponsored health insurance transitions during the multi-year transition window. Specifically: employers continue providing current coverage during the transition; new hires during the transition window enroll in universal coverage rather than employer plans; existing employees transition to universal coverage either at coverage-renewal milestones or at the end of the transition window, whichever comes first. Employees do not face coverage gaps during transition (this is a structural feature of the transition mechanics, not an aspirational goal). Employers see administrative burden reduction as employees transition off employer plans.</w:t>
      </w:r>
    </w:p>
    <w:p>
      <w:pPr>
        <w:spacing w:before="480"/>
        <w:jc w:val="center"/>
      </w:pPr>
      <w:r>
        <w:rPr>
          <w:rFonts w:ascii="Arial" w:cs="Arial" w:eastAsia="Arial" w:hAnsi="Arial"/>
          <w:i/>
          <w:iCs/>
          <w:color w:val="595959"/>
          <w:sz w:val="16"/>
          <w:szCs w:val="16"/>
        </w:rPr>
        <w:t>What if I lose my job during the transition? Universal healthcare coverage is not tied to employment; coverage is universal regardless of employment status. Loss of employment during transition does not produce coverage gaps (which is a meaningful improvement over the current system, where employer-sponsored coverage typically ends 30-90 days after employment ends, producing potential gaps). The Sovereign Fund retirement architecture is similarly not tied to employment; accumulation continues regardless of employment status.</w:t>
      </w:r>
    </w:p>
    <w:p>
      <w:pPr>
        <w:spacing w:before="480"/>
        <w:jc w:val="center"/>
      </w:pPr>
      <w:r>
        <w:rPr>
          <w:rFonts w:ascii="Arial" w:cs="Arial" w:eastAsia="Arial" w:hAnsi="Arial"/>
          <w:i/>
          <w:iCs/>
          <w:color w:val="595959"/>
          <w:sz w:val="16"/>
          <w:szCs w:val="16"/>
        </w:rPr>
        <w:t>What about specialists I see now? Specialty care under universal healthcare follows a structured referral process similar to managed-care plans today, with transparent criteria for specialty referrals. Specialists you currently see remain your specialists; the change is the payment system. Specialty care availability is designed to match current availability rather than to constrain access. Wait times for specialty care are projected to be comparable to current wait times in the early years of universal coverage, with gradual improvement as the system stabilizes (specific wait-time projections require external healthcare-economics modeling, tracked as part of RESEARCH-4).</w:t>
      </w:r>
    </w:p>
    <w:p>
      <w:pPr>
        <w:pStyle w:val="Heading1"/>
        <w:spacing w:after="240" w:before="480"/>
      </w:pPr>
      <w:r>
        <w:rPr>
          <w:rFonts w:ascii="Arial" w:cs="Arial" w:eastAsia="Arial" w:hAnsi="Arial"/>
          <w:b/>
          <w:bCs/>
          <w:color w:val="1F4E78"/>
          <w:sz w:val="36"/>
          <w:szCs w:val="36"/>
        </w:rPr>
        <w:t>Social Security Benefits Under the Platform</w:t>
      </w:r>
    </w:p>
    <w:p>
      <w:pPr>
        <w:spacing w:before="480"/>
        <w:jc w:val="center"/>
      </w:pPr>
      <w:r>
        <w:rPr>
          <w:rFonts w:ascii="Arial" w:cs="Arial" w:eastAsia="Arial" w:hAnsi="Arial"/>
          <w:i/>
          <w:iCs/>
          <w:color w:val="595959"/>
          <w:sz w:val="16"/>
          <w:szCs w:val="16"/>
        </w:rPr>
        <w:t>This section addresses a retirement-security-framing finding from the v3.1.0 concerned-citizen persona simulation. Retirees and near-retirees frequently ask first: 'will my Social Security benefits be reduced?' The answer is no; this section states this directly rather than requiring readers to infer it from the platform's broader architecture.</w:t>
      </w:r>
    </w:p>
    <w:p>
      <w:pPr>
        <w:spacing w:before="480"/>
        <w:jc w:val="center"/>
      </w:pPr>
      <w:r>
        <w:rPr>
          <w:rFonts w:ascii="Arial" w:cs="Arial" w:eastAsia="Arial" w:hAnsi="Arial"/>
          <w:i/>
          <w:iCs/>
          <w:color w:val="595959"/>
          <w:sz w:val="16"/>
          <w:szCs w:val="16"/>
        </w:rPr>
        <w:t>Social Security benefits under the platform: not reduced. Retirees currently receiving Social Security continue to receive their Social Security benefits at current levels and with current annual cost-of-living adjustments. The platform's Sovereign Fund retirement architecture supplements Social Security rather than replacing it. Workers approaching retirement age continue to accrue Social Security benefits through their working years and receive Social Security at retirement based on the standard Social Security benefit formula.</w:t>
      </w:r>
    </w:p>
    <w:p>
      <w:pPr>
        <w:spacing w:before="480"/>
        <w:jc w:val="center"/>
      </w:pPr>
      <w:r>
        <w:rPr>
          <w:rFonts w:ascii="Arial" w:cs="Arial" w:eastAsia="Arial" w:hAnsi="Arial"/>
          <w:i/>
          <w:iCs/>
          <w:color w:val="595959"/>
          <w:sz w:val="16"/>
          <w:szCs w:val="16"/>
        </w:rPr>
        <w:t>Why this is the case. The platform's Sovereign Fund architecture is structurally additive: Sovereign Fund balances accumulate through new contribution mechanisms (employer-side and employee-side contributions, plus Founding Stake collection at platform launch). The Sovereign Fund does not draw from Social Security trust funds; the two systems operate in parallel. Social Security remains funded through FICA taxes as currently structured. The platform's broader fiscal architecture (documented in the Federal Fiscal Impact Analysis) does not require reducing Social Security benefits to fund the platform's other programs.</w:t>
      </w:r>
    </w:p>
    <w:p>
      <w:pPr>
        <w:spacing w:before="480"/>
        <w:jc w:val="center"/>
      </w:pPr>
      <w:r>
        <w:rPr>
          <w:rFonts w:ascii="Arial" w:cs="Arial" w:eastAsia="Arial" w:hAnsi="Arial"/>
          <w:i/>
          <w:iCs/>
          <w:color w:val="595959"/>
          <w:sz w:val="16"/>
          <w:szCs w:val="16"/>
        </w:rPr>
        <w:t>What does change. What changes for retirees and near-retirees is supplemental: (1) Sovereign Fund balances begin accumulating from platform launch; retirees see annual dividend distributions from their Sovereign Fund balance in addition to Social Security; (2) universal healthcare reduces healthcare costs for retirees, particularly out-of-pocket prescription costs and supplemental-insurance premium costs; (3) the wage-floor architecture and federal-income-tax restructuring may reduce federal income tax for retirees with modest Social Security plus modest retirement-savings income, depending on the structure of their other income. None of these changes reduces Social Security; all are supplemental improvements to retiree financial security.</w:t>
      </w:r>
    </w:p>
    <w:p>
      <w:pPr>
        <w:spacing w:after="240" w:line="340"/>
        <w:jc w:val="both"/>
      </w:pPr>
      <w:r>
        <w:rPr>
          <w:rFonts w:ascii="Georgia" w:cs="Georgia" w:eastAsia="Georgia" w:hAnsi="Georgia"/>
          <w:color w:val="1A1A1A"/>
          <w:sz w:val="24"/>
          <w:szCs w:val="24"/>
        </w:rPr>
        <w:t>Older Americans facing long-term care: Aging-in-Place Implications. Long-term care is the platform's largest single coverage gap; Aging-in-Place Implications documents what the platform does and does not address for CCRC residents, assisted living, nursing home, HCBS, and informal caregiver populations.</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What This Means For You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What This Means For You — Tax Comparison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This Means For You — Side-by-Side Tax Comparisons</dc:title>
  <dc:creator>Jason Robertson</dc:creator>
  <cp:lastModifiedBy>Un-named</cp:lastModifiedBy>
  <cp:revision>1</cp:revision>
  <dcterms:created xsi:type="dcterms:W3CDTF">2026-05-04T15:10:19.156Z</dcterms:created>
  <dcterms:modified xsi:type="dcterms:W3CDTF">2026-05-04T15:10:19.156Z</dcterms:modified>
</cp:coreProperties>
</file>

<file path=docProps/custom.xml><?xml version="1.0" encoding="utf-8"?>
<Properties xmlns="http://schemas.openxmlformats.org/officeDocument/2006/custom-properties" xmlns:vt="http://schemas.openxmlformats.org/officeDocument/2006/docPropsVTypes"/>
</file>