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800"/>
      </w:pPr>
      <w:r>
        <w:t xml:space="preserve"/>
      </w:r>
    </w:p>
    <w:p>
      <w:pPr>
        <w:spacing w:after="100"/>
        <w:jc w:val="center"/>
      </w:pPr>
      <w:r>
        <w:rPr>
          <w:rFonts w:ascii="Arial" w:cs="Arial" w:eastAsia="Arial" w:hAnsi="Arial"/>
          <w:b/>
          <w:bCs/>
          <w:color w:val="1F4E78"/>
          <w:sz w:val="60"/>
          <w:szCs w:val="60"/>
        </w:rPr>
        <w:t xml:space="preserve">WHAT CHANGES</w:t>
      </w:r>
    </w:p>
    <w:p>
      <w:pPr>
        <w:spacing w:after="200"/>
        <w:jc w:val="center"/>
      </w:pPr>
      <w:r>
        <w:rPr>
          <w:rFonts w:ascii="Arial" w:cs="Arial" w:eastAsia="Arial" w:hAnsi="Arial"/>
          <w:i/>
          <w:iCs/>
          <w:color w:val="C00000"/>
          <w:sz w:val="28"/>
          <w:szCs w:val="28"/>
        </w:rPr>
        <w:t xml:space="preserve">Future State Milestones at 5, 10, and 15 Years</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6"/>
          <w:szCs w:val="26"/>
        </w:rPr>
        <w:t xml:space="preserve">What individuals experience.</w:t>
      </w:r>
    </w:p>
    <w:p>
      <w:pPr>
        <w:spacing w:after="1200"/>
        <w:jc w:val="center"/>
      </w:pPr>
      <w:r>
        <w:rPr>
          <w:rFonts w:ascii="Georgia" w:cs="Georgia" w:eastAsia="Georgia" w:hAnsi="Georgia"/>
          <w:i/>
          <w:iCs/>
          <w:color w:val="1A1A1A"/>
          <w:sz w:val="26"/>
          <w:szCs w:val="26"/>
        </w:rPr>
        <w:t xml:space="preserve">What the country becomes.</w:t>
      </w:r>
    </w:p>
    <w:p>
      <w:pPr>
        <w:spacing w:before="1600"/>
      </w:pPr>
      <w:r>
        <w:t xml:space="preserve"/>
      </w:r>
    </w:p>
    <w:p>
      <w:pPr>
        <w:spacing w:after="80"/>
        <w:jc w:val="center"/>
      </w:pPr>
      <w:r>
        <w:rPr>
          <w:rFonts w:ascii="Georgia" w:cs="Georgia" w:eastAsia="Georgia" w:hAnsi="Georgia"/>
          <w:i/>
          <w:iCs/>
          <w:color w:val="595959"/>
          <w:sz w:val="22"/>
          <w:szCs w:val="22"/>
        </w:rPr>
        <w:t xml:space="preserve">A Future State Milestones Document</w:t>
      </w:r>
    </w:p>
    <w:p>
      <w:pPr>
        <w:spacing w:after="80"/>
        <w:jc w:val="center"/>
      </w:pPr>
      <w:r>
        <w:rPr>
          <w:rFonts w:ascii="Georgia" w:cs="Georgia" w:eastAsia="Georgia" w:hAnsi="Georgia"/>
          <w:b/>
          <w:bCs/>
          <w:color w:val="1A1A1A"/>
          <w:sz w:val="24"/>
          <w:szCs w:val="24"/>
        </w:rPr>
        <w:t xml:space="preserve">Jason Robertson</w:t>
      </w:r>
    </w:p>
    <w:p>
      <w:pPr>
        <w:spacing w:before="600"/>
        <w:jc w:val="center"/>
      </w:pPr>
      <w:r>
        <w:rPr>
          <w:rFonts w:ascii="Arial" w:cs="Arial" w:eastAsia="Arial" w:hAnsi="Arial"/>
          <w:i/>
          <w:iCs/>
          <w:color w:val="595959"/>
          <w:sz w:val="16"/>
          <w:szCs w:val="16"/>
        </w:rPr>
        <w:t>v1.1  ·  Created April 2026  ·  Updated May 3, 2026  ·  Updated May 6, 2026 for v2.24 (consolidation: healthcare timeline aligned with Detailed Plan glide path)  ·  Updated May 6, 2026 for v2.30.7 (Sovereign Fund capitalization)</w:t>
      </w:r>
    </w:p>
    <w:p>
      <w:pPr>
        <w:jc w:val="center"/>
      </w:pPr>
      <w:r>
        <w:rPr>
          <w:rFonts w:ascii="Georgia" w:cs="Georgia" w:eastAsia="Georgia" w:hAnsi="Georgia"/>
          <w:color w:val="595959"/>
          <w:sz w:val="20"/>
          <w:szCs w:val="20"/>
        </w:rPr>
        <w:t xml:space="preserve">Ohio  ·  2026</w:t>
      </w:r>
    </w:p>
    <w:p>
      <w:r>
        <w:br w:type="page"/>
      </w:r>
    </w:p>
    <w:p>
      <w:pPr>
        <w:pStyle w:val="Heading1"/>
        <w:spacing w:after="240" w:before="480"/>
      </w:pPr>
      <w:r>
        <w:rPr>
          <w:rFonts w:ascii="Arial" w:cs="Arial" w:eastAsia="Arial" w:hAnsi="Arial"/>
          <w:b/>
          <w:bCs/>
          <w:color w:val="1F4E78"/>
          <w:sz w:val="36"/>
          <w:szCs w:val="36"/>
        </w:rPr>
        <w:t xml:space="preserve">How to Read This Document</w:t>
      </w:r>
    </w:p>
    <w:p>
      <w:pPr>
        <w:spacing w:after="240" w:line="340"/>
        <w:jc w:val="both"/>
      </w:pPr>
      <w:r>
        <w:rPr>
          <w:rFonts w:ascii="Georgia" w:cs="Georgia" w:eastAsia="Georgia" w:hAnsi="Georgia"/>
          <w:color w:val="1A1A1A"/>
          <w:sz w:val="24"/>
          <w:szCs w:val="24"/>
        </w:rPr>
        <w:t xml:space="preserve">This document describes what changes if the platform is enacted, told through milestones at five, ten, and fifteen years after enactment. It is a thought experiment grounded in the platform's mathematical models, international precedents, and the historical trajectories of comparable institutions in other countries.</w:t>
      </w:r>
    </w:p>
    <w:p>
      <w:pPr>
        <w:spacing w:after="200" w:line="320"/>
        <w:jc w:val="both"/>
      </w:pPr>
      <w:r>
        <w:rPr>
          <w:rFonts w:ascii="Georgia" w:cs="Georgia" w:eastAsia="Georgia" w:hAnsi="Georgia"/>
          <w:color w:val="1A1A1A"/>
          <w:sz w:val="22"/>
          <w:szCs w:val="22"/>
        </w:rPr>
        <w:t xml:space="preserve">Two perspectives are offered for each milestone period. The individual perspective describes what changes in the daily lives of ordinary Americans — what they pay, what they receive, what becomes possible that wasn't before. The country perspective describes what changes at the national level — fiscal trajectories, institutional capacity, economic indicators, demographic effects.</w:t>
      </w:r>
    </w:p>
    <w:p>
      <w:pPr>
        <w:spacing w:after="200" w:line="320"/>
        <w:jc w:val="both"/>
      </w:pPr>
      <w:r>
        <w:rPr>
          <w:rFonts w:ascii="Georgia" w:cs="Georgia" w:eastAsia="Georgia" w:hAnsi="Georgia"/>
          <w:color w:val="1A1A1A"/>
          <w:sz w:val="22"/>
          <w:szCs w:val="22"/>
        </w:rPr>
        <w:t xml:space="preserve">Several caveats worth naming upfront. The milestones describe what the platform's models project under their stated assumptions. Real-world implementation will produce variations from the projections, sometimes substantial. The platform's enactment timeline depends on political processes that have their own uncertainty — the milestones assume the full platform is enacted in a single legislative package, but partial enactment of specific pillars on different timelines is also possible. The descriptions blend optimistic but defensible interpretations of what the analysis supports; readers should treat them as plausible trajectories rather than predictions.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line="300"/>
            </w:pPr>
            <w:r>
              <w:rPr>
                <w:rFonts w:ascii="Georgia" w:cs="Georgia" w:eastAsia="Georgia" w:hAnsi="Georgia"/>
                <w:i/>
                <w:iCs/>
                <w:color w:val="1A1A1A"/>
                <w:sz w:val="22"/>
                <w:szCs w:val="22"/>
              </w:rPr>
              <w:t xml:space="preserve">Year 1 in this document is the year the platform is enacted. The Founding Stake collection occurs that year. Payroll contributions begin that year. The transitions begin. What is described as Year 5 is therefore approximately five calendar years after enactment.</w:t>
            </w:r>
          </w:p>
        </w:tc>
      </w:tr>
    </w:tbl>
    <w:p>
      <w:r>
        <w:br w:type="pag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1F4E78" w:sz="18"/>
              <w:left w:val="none"/>
              <w:bottom w:val="single" w:color="1F4E78" w:sz="18"/>
              <w:right w:val="none"/>
            </w:tcBorders>
            <w:shd w:fill="F8F4E8" w:val="clear"/>
            <w:tcMar>
              <w:top w:type="dxa" w:w="240"/>
              <w:left w:type="dxa" w:w="280"/>
              <w:bottom w:type="dxa" w:w="240"/>
              <w:right w:type="dxa" w:w="280"/>
            </w:tcMar>
          </w:tcPr>
          <w:p>
            <w:pPr>
              <w:jc w:val="center"/>
            </w:pPr>
            <w:r>
              <w:rPr>
                <w:rFonts w:ascii="Arial" w:cs="Arial" w:eastAsia="Arial" w:hAnsi="Arial"/>
                <w:b/>
                <w:bCs/>
                <w:color w:val="1F4E78"/>
                <w:sz w:val="48"/>
                <w:szCs w:val="48"/>
              </w:rPr>
              <w:t xml:space="preserve">YEAR 5</w:t>
            </w:r>
          </w:p>
          <w:p>
            <w:pPr>
              <w:spacing w:before="100"/>
              <w:jc w:val="center"/>
            </w:pPr>
            <w:r>
              <w:rPr>
                <w:rFonts w:ascii="Georgia" w:cs="Georgia" w:eastAsia="Georgia" w:hAnsi="Georgia"/>
                <w:i/>
                <w:iCs/>
                <w:color w:val="1A1A1A"/>
                <w:sz w:val="22"/>
                <w:szCs w:val="22"/>
              </w:rPr>
              <w:t xml:space="preserve">Building Phase — The Foundations Set</w:t>
            </w:r>
          </w:p>
        </w:tc>
      </w:tr>
    </w:tbl>
    <w:p>
      <w:pPr>
        <w:spacing w:after="200"/>
      </w:pPr>
      <w:r>
        <w:t xml:space="preserve"/>
      </w:r>
    </w:p>
    <w:p>
      <w:pPr>
        <w:pStyle w:val="Heading2"/>
        <w:spacing w:after="160" w:before="360"/>
      </w:pPr>
      <w:r>
        <w:rPr>
          <w:rFonts w:ascii="Arial" w:cs="Arial" w:eastAsia="Arial" w:hAnsi="Arial"/>
          <w:b/>
          <w:bCs/>
          <w:color w:val="1F4E78"/>
          <w:sz w:val="28"/>
          <w:szCs w:val="28"/>
        </w:rPr>
        <w:t xml:space="preserve">What Individuals Experience</w:t>
      </w:r>
    </w:p>
    <w:p>
      <w:pPr>
        <w:spacing w:after="240" w:line="340"/>
        <w:jc w:val="both"/>
      </w:pPr>
      <w:r>
        <w:rPr>
          <w:rFonts w:ascii="Georgia" w:cs="Georgia" w:eastAsia="Georgia" w:hAnsi="Georgia"/>
          <w:color w:val="1A1A1A"/>
          <w:sz w:val="24"/>
          <w:szCs w:val="24"/>
        </w:rPr>
        <w:t xml:space="preserve">Five years in, the platform's effects on individual American lives are visible but not yet complete. The system is functioning across all pillars, but workforce capacity in some areas is still expanding and some institutional patterns are still adjusting.</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For the median American household</w:t>
            </w:r>
          </w:p>
          <w:p>
            <w:pPr>
              <w:spacing w:after="100" w:line="280"/>
            </w:pPr>
            <w:r>
              <w:rPr>
                <w:rFonts w:ascii="Georgia" w:cs="Georgia" w:eastAsia="Georgia" w:hAnsi="Georgia"/>
                <w:color w:val="1A1A1A"/>
                <w:sz w:val="21"/>
                <w:szCs w:val="21"/>
              </w:rPr>
              <w:t xml:space="preserve">•  Healthcare access is universal regardless of employment. No premium payments. Total household healthcare costs reduced by approximately $7,500 per year compared to current.</w:t>
            </w:r>
          </w:p>
          <w:p>
            <w:pPr>
              <w:spacing w:after="100" w:line="280"/>
            </w:pPr>
            <w:r>
              <w:rPr>
                <w:rFonts w:ascii="Georgia" w:cs="Georgia" w:eastAsia="Georgia" w:hAnsi="Georgia"/>
                <w:color w:val="1A1A1A"/>
                <w:sz w:val="21"/>
                <w:szCs w:val="21"/>
              </w:rPr>
              <w:t xml:space="preserve">•  Childcare is available at $10 per day cap for working families. A family with two children in care saves approximately $20,000 per year compared to current childcare costs.</w:t>
            </w:r>
          </w:p>
          <w:p>
            <w:pPr>
              <w:spacing w:after="100" w:line="280"/>
            </w:pPr>
            <w:r>
              <w:rPr>
                <w:rFonts w:ascii="Georgia" w:cs="Georgia" w:eastAsia="Georgia" w:hAnsi="Georgia"/>
                <w:color w:val="1A1A1A"/>
                <w:sz w:val="21"/>
                <w:szCs w:val="21"/>
              </w:rPr>
              <w:t xml:space="preserve">•  Mental health services are available without cost barriers, though waiting times remain in some regions due to workforce buildout.</w:t>
            </w:r>
          </w:p>
          <w:p>
            <w:pPr>
              <w:spacing w:after="100" w:line="280"/>
            </w:pPr>
            <w:r>
              <w:rPr>
                <w:rFonts w:ascii="Georgia" w:cs="Georgia" w:eastAsia="Georgia" w:hAnsi="Georgia"/>
                <w:color w:val="1A1A1A"/>
                <w:sz w:val="21"/>
                <w:szCs w:val="21"/>
              </w:rPr>
              <w:t xml:space="preserve">•  Retirement contributions are flowing into individual accounts that workers own and can pass on. Year 5 personal balance for a new worker is approximately $35,000.</w:t>
            </w:r>
          </w:p>
          <w:p>
            <w:pPr>
              <w:spacing w:after="100" w:line="280"/>
            </w:pPr>
            <w:r>
              <w:rPr>
                <w:rFonts w:ascii="Georgia" w:cs="Georgia" w:eastAsia="Georgia" w:hAnsi="Georgia"/>
                <w:color w:val="1A1A1A"/>
                <w:sz w:val="21"/>
                <w:szCs w:val="21"/>
              </w:rPr>
              <w:t xml:space="preserve">•  Total household savings compared to pre-platform: approximately $11,500 per year, accumulating to roughly $50,000 in cumulative savings by Year 5.</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For workers approaching retirement</w:t>
            </w:r>
          </w:p>
          <w:p>
            <w:pPr>
              <w:spacing w:after="100" w:line="280"/>
            </w:pPr>
            <w:r>
              <w:rPr>
                <w:rFonts w:ascii="Georgia" w:cs="Georgia" w:eastAsia="Georgia" w:hAnsi="Georgia"/>
                <w:color w:val="1A1A1A"/>
                <w:sz w:val="21"/>
                <w:szCs w:val="21"/>
              </w:rPr>
              <w:t xml:space="preserve">•  Existing Social Security commitments are honored fully. Workers within ten years of retirement at platform enactment continue receiving exactly what they were promised.</w:t>
            </w:r>
          </w:p>
          <w:p>
            <w:pPr>
              <w:spacing w:after="100" w:line="280"/>
            </w:pPr>
            <w:r>
              <w:rPr>
                <w:rFonts w:ascii="Georgia" w:cs="Georgia" w:eastAsia="Georgia" w:hAnsi="Georgia"/>
                <w:color w:val="1A1A1A"/>
                <w:sz w:val="21"/>
                <w:szCs w:val="21"/>
              </w:rPr>
              <w:t xml:space="preserve">•  Workers between ten and twenty years from retirement have their existing Social Security entitlements protected and their new contributions begin building parallel accounts.</w:t>
            </w:r>
          </w:p>
          <w:p>
            <w:pPr>
              <w:spacing w:after="100" w:line="280"/>
            </w:pPr>
            <w:r>
              <w:rPr>
                <w:rFonts w:ascii="Georgia" w:cs="Georgia" w:eastAsia="Georgia" w:hAnsi="Georgia"/>
                <w:color w:val="1A1A1A"/>
                <w:sz w:val="21"/>
                <w:szCs w:val="21"/>
              </w:rPr>
              <w:t xml:space="preserve">•  Career disruption no longer threatens retirement security as much, because accumulated balances are portable and protected.</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For workers entering the labor market</w:t>
            </w:r>
          </w:p>
          <w:p>
            <w:pPr>
              <w:spacing w:after="100" w:line="280"/>
            </w:pPr>
            <w:r>
              <w:rPr>
                <w:rFonts w:ascii="Georgia" w:cs="Georgia" w:eastAsia="Georgia" w:hAnsi="Georgia"/>
                <w:color w:val="1A1A1A"/>
                <w:sz w:val="21"/>
                <w:szCs w:val="21"/>
              </w:rPr>
              <w:t xml:space="preserve">•  Wage floors are operational across 460 broad occupations. Workers entering nursing, childcare, social work, and other care occupations earn substantially more than they would have before — typically 20-40% higher floor wages in care occupations.</w:t>
            </w:r>
          </w:p>
          <w:p>
            <w:pPr>
              <w:spacing w:after="100" w:line="280"/>
            </w:pPr>
            <w:r>
              <w:rPr>
                <w:rFonts w:ascii="Georgia" w:cs="Georgia" w:eastAsia="Georgia" w:hAnsi="Georgia"/>
                <w:color w:val="1A1A1A"/>
                <w:sz w:val="21"/>
                <w:szCs w:val="21"/>
              </w:rPr>
              <w:t xml:space="preserve">•  Education funding is available for any worker between 17 and 30 pursuing additional credentials. Free community college has become standard. Free four-year degree available at participating institutions.</w:t>
            </w:r>
          </w:p>
          <w:p>
            <w:pPr>
              <w:spacing w:after="100" w:line="280"/>
            </w:pPr>
            <w:r>
              <w:rPr>
                <w:rFonts w:ascii="Georgia" w:cs="Georgia" w:eastAsia="Georgia" w:hAnsi="Georgia"/>
                <w:color w:val="1A1A1A"/>
                <w:sz w:val="21"/>
                <w:szCs w:val="21"/>
              </w:rPr>
              <w:t xml:space="preserve">•  Job mobility increases substantially because changing jobs no longer requires losing healthcare or childcare arrangements.</w:t>
            </w:r>
          </w:p>
        </w:tc>
      </w:tr>
    </w:tbl>
    <w:p>
      <w:pPr>
        <w:pStyle w:val="Heading2"/>
        <w:spacing w:after="160" w:before="360"/>
      </w:pPr>
      <w:r>
        <w:rPr>
          <w:rFonts w:ascii="Arial" w:cs="Arial" w:eastAsia="Arial" w:hAnsi="Arial"/>
          <w:b/>
          <w:bCs/>
          <w:color w:val="1F4E78"/>
          <w:sz w:val="28"/>
          <w:szCs w:val="28"/>
        </w:rPr>
        <w:t xml:space="preserve">What the Country Experiences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Fiscal trajectory</w:t>
            </w:r>
          </w:p>
          <w:p>
            <w:pPr>
              <w:spacing w:after="100" w:line="280"/>
            </w:pPr>
            <w:r>
              <w:rPr>
                <w:rFonts w:ascii="Georgia" w:cs="Georgia" w:eastAsia="Georgia" w:hAnsi="Georgia"/>
                <w:color w:val="1A1A1A"/>
                <w:sz w:val="21"/>
                <w:szCs w:val="21"/>
              </w:rPr>
              <w:t xml:space="preserve">•  Sovereign Fund balance: approximately $1.8 trillion. Growing through both new contributions and investment returns.</w:t>
            </w:r>
          </w:p>
          <w:p>
            <w:pPr>
              <w:spacing w:after="100" w:line="280"/>
            </w:pPr>
            <w:r>
              <w:rPr>
                <w:rFonts w:ascii="Georgia" w:cs="Georgia" w:eastAsia="Georgia" w:hAnsi="Georgia"/>
                <w:color w:val="1A1A1A"/>
                <w:sz w:val="21"/>
                <w:szCs w:val="21"/>
              </w:rPr>
              <w:t xml:space="preserve">•  Founding Stake collection completed Year 1: $680 million from 340 million Americans. Symbolic foundation for everything that follows.</w:t>
            </w:r>
          </w:p>
          <w:p>
            <w:pPr>
              <w:spacing w:after="100" w:line="280"/>
            </w:pPr>
            <w:r>
              <w:rPr>
                <w:rFonts w:ascii="Georgia" w:cs="Georgia" w:eastAsia="Georgia" w:hAnsi="Georgia"/>
                <w:color w:val="1A1A1A"/>
                <w:sz w:val="21"/>
                <w:szCs w:val="21"/>
              </w:rPr>
              <w:t>•  Healthcare spending per capita has begun to decline, on track to reach the $9,500 target by Year 15 per the glide path detailed in the Healthcare Transition Detailed Plan ($13,000 per capita by Year 5, $11,200 by Year 10, $9,500 by Year 15). Year 5 figure approximately $13,000 (down from $14,613 baseline).</w:t>
            </w:r>
          </w:p>
          <w:p>
            <w:pPr>
              <w:spacing w:after="100" w:line="280"/>
            </w:pPr>
            <w:r>
              <w:rPr>
                <w:rFonts w:ascii="Georgia" w:cs="Georgia" w:eastAsia="Georgia" w:hAnsi="Georgia"/>
                <w:color w:val="1A1A1A"/>
                <w:sz w:val="21"/>
                <w:szCs w:val="21"/>
              </w:rPr>
              <w:t xml:space="preserve">•  Federal contribution collection is approximately $300 billion higher annually than pre-platform, while Americans are spending approximately $900 billion less in private healthcare and childcare costs collectively.</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Institutional capacity</w:t>
            </w:r>
          </w:p>
          <w:p>
            <w:pPr>
              <w:spacing w:after="100" w:line="280"/>
            </w:pPr>
            <w:r>
              <w:rPr>
                <w:rFonts w:ascii="Georgia" w:cs="Georgia" w:eastAsia="Georgia" w:hAnsi="Georgia"/>
                <w:color w:val="1A1A1A"/>
                <w:sz w:val="21"/>
                <w:szCs w:val="21"/>
              </w:rPr>
              <w:t xml:space="preserve">•  Healthcare administrative simplification has eliminated approximately 600,000 administrative positions in private insurance, with roughly 80% of those workers transitioning to new roles within two years through the workforce transition infrastructure.</w:t>
            </w:r>
          </w:p>
          <w:p>
            <w:pPr>
              <w:spacing w:after="100" w:line="280"/>
            </w:pPr>
            <w:r>
              <w:rPr>
                <w:rFonts w:ascii="Georgia" w:cs="Georgia" w:eastAsia="Georgia" w:hAnsi="Georgia"/>
                <w:color w:val="1A1A1A"/>
                <w:sz w:val="21"/>
                <w:szCs w:val="21"/>
              </w:rPr>
              <w:t xml:space="preserve">•  Childcare workforce has expanded by approximately 200,000 workers, on track to reach the 1.4 million needed for full coverage.</w:t>
            </w:r>
          </w:p>
          <w:p>
            <w:pPr>
              <w:spacing w:after="100" w:line="280"/>
            </w:pPr>
            <w:r>
              <w:rPr>
                <w:rFonts w:ascii="Georgia" w:cs="Georgia" w:eastAsia="Georgia" w:hAnsi="Georgia"/>
                <w:color w:val="1A1A1A"/>
                <w:sz w:val="21"/>
                <w:szCs w:val="21"/>
              </w:rPr>
              <w:t xml:space="preserve">•  Mental health workforce expansion is slower due to longer training pipelines, but psychology doctoral programs have doubled enrollment.</w:t>
            </w:r>
          </w:p>
          <w:p>
            <w:pPr>
              <w:spacing w:after="100" w:line="280"/>
            </w:pPr>
            <w:r>
              <w:rPr>
                <w:rFonts w:ascii="Georgia" w:cs="Georgia" w:eastAsia="Georgia" w:hAnsi="Georgia"/>
                <w:color w:val="1A1A1A"/>
                <w:sz w:val="21"/>
                <w:szCs w:val="21"/>
              </w:rPr>
              <w:t xml:space="preserve">•  Cost-based pricing review processes are operational. Approximately 15% of higher education institutions have either joined the Sovereign Education Fund system at cost-based prices or have publicly explained why they're operating outside it.</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Economic and demographic indicators</w:t>
            </w:r>
          </w:p>
          <w:p>
            <w:pPr>
              <w:spacing w:after="100" w:line="280"/>
            </w:pPr>
            <w:r>
              <w:rPr>
                <w:rFonts w:ascii="Georgia" w:cs="Georgia" w:eastAsia="Georgia" w:hAnsi="Georgia"/>
                <w:color w:val="1A1A1A"/>
                <w:sz w:val="21"/>
                <w:szCs w:val="21"/>
              </w:rPr>
              <w:t xml:space="preserve">•  Maternal workforce participation has increased by approximately 4 percentage points, consistent with what Quebec experienced in the comparable period.</w:t>
            </w:r>
          </w:p>
          <w:p>
            <w:pPr>
              <w:spacing w:after="100" w:line="280"/>
            </w:pPr>
            <w:r>
              <w:rPr>
                <w:rFonts w:ascii="Georgia" w:cs="Georgia" w:eastAsia="Georgia" w:hAnsi="Georgia"/>
                <w:color w:val="1A1A1A"/>
                <w:sz w:val="21"/>
                <w:szCs w:val="21"/>
              </w:rPr>
              <w:t xml:space="preserve">•  Personal bankruptcy filings related to medical debt have declined by approximately 60%.</w:t>
            </w:r>
          </w:p>
          <w:p>
            <w:pPr>
              <w:spacing w:after="100" w:line="280"/>
            </w:pPr>
            <w:r>
              <w:rPr>
                <w:rFonts w:ascii="Georgia" w:cs="Georgia" w:eastAsia="Georgia" w:hAnsi="Georgia"/>
                <w:color w:val="1A1A1A"/>
                <w:sz w:val="21"/>
                <w:szCs w:val="21"/>
              </w:rPr>
              <w:t xml:space="preserve">•  Young adult mental health outcomes show modest but measurable improvement as access barriers are removed.</w:t>
            </w:r>
          </w:p>
          <w:p>
            <w:pPr>
              <w:spacing w:after="100" w:line="280"/>
            </w:pPr>
            <w:r>
              <w:rPr>
                <w:rFonts w:ascii="Georgia" w:cs="Georgia" w:eastAsia="Georgia" w:hAnsi="Georgia"/>
                <w:color w:val="1A1A1A"/>
                <w:sz w:val="21"/>
                <w:szCs w:val="21"/>
              </w:rPr>
              <w:t xml:space="preserve">•  Educational debt accumulation has stopped for new students entering participating institutions. Existing student debt remains, addressed separately by other policy mechanisms.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“Year 5 is when Americans start to feel the change. The new normal hasn't fully replaced the old one, but the trajectory is unmistakable.”</w:t>
            </w:r>
          </w:p>
        </w:tc>
      </w:tr>
    </w:tbl>
    <w:p>
      <w:r>
        <w:br w:type="pag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1F4E78" w:sz="18"/>
              <w:left w:val="none"/>
              <w:bottom w:val="single" w:color="1F4E78" w:sz="18"/>
              <w:right w:val="none"/>
            </w:tcBorders>
            <w:shd w:fill="F0F0F8" w:val="clear"/>
            <w:tcMar>
              <w:top w:type="dxa" w:w="240"/>
              <w:left w:type="dxa" w:w="280"/>
              <w:bottom w:type="dxa" w:w="240"/>
              <w:right w:type="dxa" w:w="280"/>
            </w:tcMar>
          </w:tcPr>
          <w:p>
            <w:pPr>
              <w:jc w:val="center"/>
            </w:pPr>
            <w:r>
              <w:rPr>
                <w:rFonts w:ascii="Arial" w:cs="Arial" w:eastAsia="Arial" w:hAnsi="Arial"/>
                <w:b/>
                <w:bCs/>
                <w:color w:val="1F4E78"/>
                <w:sz w:val="48"/>
                <w:szCs w:val="48"/>
              </w:rPr>
              <w:t xml:space="preserve">YEAR 10</w:t>
            </w:r>
          </w:p>
          <w:p>
            <w:pPr>
              <w:spacing w:before="100"/>
              <w:jc w:val="center"/>
            </w:pPr>
            <w:r>
              <w:rPr>
                <w:rFonts w:ascii="Georgia" w:cs="Georgia" w:eastAsia="Georgia" w:hAnsi="Georgia"/>
                <w:i/>
                <w:iCs/>
                <w:color w:val="1A1A1A"/>
                <w:sz w:val="22"/>
                <w:szCs w:val="22"/>
              </w:rPr>
              <w:t xml:space="preserve">Maturing Phase — The System Becomes Itself</w:t>
            </w:r>
          </w:p>
        </w:tc>
      </w:tr>
    </w:tbl>
    <w:p>
      <w:pPr>
        <w:spacing w:after="200"/>
      </w:pPr>
      <w:r>
        <w:t xml:space="preserve"/>
      </w:r>
    </w:p>
    <w:p>
      <w:pPr>
        <w:pStyle w:val="Heading2"/>
        <w:spacing w:after="160" w:before="360"/>
      </w:pPr>
      <w:r>
        <w:rPr>
          <w:rFonts w:ascii="Arial" w:cs="Arial" w:eastAsia="Arial" w:hAnsi="Arial"/>
          <w:b/>
          <w:bCs/>
          <w:color w:val="1F4E78"/>
          <w:sz w:val="28"/>
          <w:szCs w:val="28"/>
        </w:rPr>
        <w:t xml:space="preserve">What Individuals Experience</w:t>
      </w:r>
    </w:p>
    <w:p>
      <w:pPr>
        <w:spacing w:after="240" w:line="340"/>
        <w:jc w:val="both"/>
      </w:pPr>
      <w:r>
        <w:rPr>
          <w:rFonts w:ascii="Georgia" w:cs="Georgia" w:eastAsia="Georgia" w:hAnsi="Georgia"/>
          <w:color w:val="1A1A1A"/>
          <w:sz w:val="24"/>
          <w:szCs w:val="24"/>
        </w:rPr>
        <w:t xml:space="preserve">Ten years in, the platform's full architecture is operational. Most Americans have lived under the new system long enough that it has become normal rather than new. The transition pains are largely past.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For the median American household</w:t>
            </w:r>
          </w:p>
          <w:p>
            <w:pPr>
              <w:spacing w:after="100" w:line="280"/>
            </w:pPr>
            <w:r>
              <w:rPr>
                <w:rFonts w:ascii="Georgia" w:cs="Georgia" w:eastAsia="Georgia" w:hAnsi="Georgia"/>
                <w:color w:val="1A1A1A"/>
                <w:sz w:val="21"/>
                <w:szCs w:val="21"/>
              </w:rPr>
              <w:t xml:space="preserve">•  Healthcare costs now stable at the $9,500 per capita target — a permanent reduction of approximately $5,000 per person per year compared to the pre-platform trajectory.</w:t>
            </w:r>
          </w:p>
          <w:p>
            <w:pPr>
              <w:spacing w:after="100" w:line="280"/>
            </w:pPr>
            <w:r>
              <w:rPr>
                <w:rFonts w:ascii="Georgia" w:cs="Georgia" w:eastAsia="Georgia" w:hAnsi="Georgia"/>
                <w:color w:val="1A1A1A"/>
                <w:sz w:val="21"/>
                <w:szCs w:val="21"/>
              </w:rPr>
              <w:t xml:space="preserve">•  Childcare is fully universal. Workforce has reached the 1.4 million target. Quality standards are consistent across providers.</w:t>
            </w:r>
          </w:p>
          <w:p>
            <w:pPr>
              <w:spacing w:after="100" w:line="280"/>
            </w:pPr>
            <w:r>
              <w:rPr>
                <w:rFonts w:ascii="Georgia" w:cs="Georgia" w:eastAsia="Georgia" w:hAnsi="Georgia"/>
                <w:color w:val="1A1A1A"/>
                <w:sz w:val="21"/>
                <w:szCs w:val="21"/>
              </w:rPr>
              <w:t xml:space="preserve">•  Mental health workforce buildout is complete enough that wait times are reasonable in most regions. Distribution problems remain in some rural areas.</w:t>
            </w:r>
          </w:p>
          <w:p>
            <w:pPr>
              <w:spacing w:after="100" w:line="280"/>
            </w:pPr>
            <w:r>
              <w:rPr>
                <w:rFonts w:ascii="Georgia" w:cs="Georgia" w:eastAsia="Georgia" w:hAnsi="Georgia"/>
                <w:color w:val="1A1A1A"/>
                <w:sz w:val="21"/>
                <w:szCs w:val="21"/>
              </w:rPr>
              <w:t xml:space="preserve">•  Cumulative household savings since platform enactment: approximately $115,000 for the median family. The savings have compounded into improved housing security, retirement contributions, and reduced household debt.</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For workers and families</w:t>
            </w:r>
          </w:p>
          <w:p>
            <w:pPr>
              <w:spacing w:after="100" w:line="280"/>
            </w:pPr>
            <w:r>
              <w:rPr>
                <w:rFonts w:ascii="Georgia" w:cs="Georgia" w:eastAsia="Georgia" w:hAnsi="Georgia"/>
                <w:color w:val="1A1A1A"/>
                <w:sz w:val="21"/>
                <w:szCs w:val="21"/>
              </w:rPr>
              <w:t xml:space="preserve">•  First wave of birth-seed beneficiaries has not yet reached college age (oldest are now 9). Sovereign Education Fund has accumulated capacity to support them when they do.</w:t>
            </w:r>
          </w:p>
          <w:p>
            <w:pPr>
              <w:spacing w:after="100" w:line="280"/>
            </w:pPr>
            <w:r>
              <w:rPr>
                <w:rFonts w:ascii="Georgia" w:cs="Georgia" w:eastAsia="Georgia" w:hAnsi="Georgia"/>
                <w:color w:val="1A1A1A"/>
                <w:sz w:val="21"/>
                <w:szCs w:val="21"/>
              </w:rPr>
              <w:t xml:space="preserve">•  Mid-career workers have benefited from extended education eligibility and have used it. Approximately 8 million Americans between ages 30 and 60 have pursued additional education through the Sovereign Education Fund.</w:t>
            </w:r>
          </w:p>
          <w:p>
            <w:pPr>
              <w:spacing w:after="100" w:line="280"/>
            </w:pPr>
            <w:r>
              <w:rPr>
                <w:rFonts w:ascii="Georgia" w:cs="Georgia" w:eastAsia="Georgia" w:hAnsi="Georgia"/>
                <w:color w:val="1A1A1A"/>
                <w:sz w:val="21"/>
                <w:szCs w:val="21"/>
              </w:rPr>
              <w:t xml:space="preserve">•  Personal retirement account balances for new entrants have reached approximately $115,000 by Year 10. The combination of personal balances and Sovereign Fund growth has fundamentally changed what retirement security means for younger workers.</w:t>
            </w:r>
          </w:p>
          <w:p>
            <w:pPr>
              <w:spacing w:after="100" w:line="280"/>
            </w:pPr>
            <w:r>
              <w:rPr>
                <w:rFonts w:ascii="Georgia" w:cs="Georgia" w:eastAsia="Georgia" w:hAnsi="Georgia"/>
                <w:color w:val="1A1A1A"/>
                <w:sz w:val="21"/>
                <w:szCs w:val="21"/>
              </w:rPr>
              <w:t xml:space="preserve">•  AI workforce displacement, which has accelerated during this period, is being absorbed by the platform's transition infrastructure. Displaced workers are accessing retraining, healthcare, and income support without the catastrophic life consequences that displacement produced before the platform.</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For older Americans</w:t>
            </w:r>
          </w:p>
          <w:p>
            <w:pPr>
              <w:spacing w:after="100" w:line="280"/>
            </w:pPr>
            <w:r>
              <w:rPr>
                <w:rFonts w:ascii="Georgia" w:cs="Georgia" w:eastAsia="Georgia" w:hAnsi="Georgia"/>
                <w:color w:val="1A1A1A"/>
                <w:sz w:val="21"/>
                <w:szCs w:val="21"/>
              </w:rPr>
              <w:t xml:space="preserve">•  Existing Social Security recipients continue receiving exactly what they were promised, fully protected through the transition.</w:t>
            </w:r>
          </w:p>
          <w:p>
            <w:pPr>
              <w:spacing w:after="100" w:line="280"/>
            </w:pPr>
            <w:r>
              <w:rPr>
                <w:rFonts w:ascii="Georgia" w:cs="Georgia" w:eastAsia="Georgia" w:hAnsi="Georgia"/>
                <w:color w:val="1A1A1A"/>
                <w:sz w:val="21"/>
                <w:szCs w:val="21"/>
              </w:rPr>
              <w:t xml:space="preserve">•  Workers entering retirement now have personal balances substantially larger than their predecessors had, supplementing their grandfathered Social Security or replacement benefits.</w:t>
            </w:r>
          </w:p>
          <w:p>
            <w:pPr>
              <w:spacing w:after="100" w:line="280"/>
            </w:pPr>
            <w:r>
              <w:rPr>
                <w:rFonts w:ascii="Georgia" w:cs="Georgia" w:eastAsia="Georgia" w:hAnsi="Georgia"/>
                <w:color w:val="1A1A1A"/>
                <w:sz w:val="21"/>
                <w:szCs w:val="21"/>
              </w:rPr>
              <w:t xml:space="preserve">•  Healthcare quality and access for older Americans has improved as the universal system reaches full operation. Long-term care issues remain, addressed by separate ongoing policy work.</w:t>
            </w:r>
          </w:p>
        </w:tc>
      </w:tr>
    </w:tbl>
    <w:p>
      <w:pPr>
        <w:pStyle w:val="Heading2"/>
        <w:spacing w:after="160" w:before="360"/>
      </w:pPr>
      <w:r>
        <w:rPr>
          <w:rFonts w:ascii="Arial" w:cs="Arial" w:eastAsia="Arial" w:hAnsi="Arial"/>
          <w:b/>
          <w:bCs/>
          <w:color w:val="1F4E78"/>
          <w:sz w:val="28"/>
          <w:szCs w:val="28"/>
        </w:rPr>
        <w:t xml:space="preserve">What the Country Experiences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Fiscal trajectory</w:t>
            </w:r>
          </w:p>
          <w:p>
            <w:pPr>
              <w:spacing w:after="100" w:line="280"/>
            </w:pPr>
            <w:r>
              <w:rPr>
                <w:rFonts w:ascii="Georgia" w:cs="Georgia" w:eastAsia="Georgia" w:hAnsi="Georgia"/>
                <w:color w:val="1A1A1A"/>
                <w:sz w:val="21"/>
                <w:szCs w:val="21"/>
              </w:rPr>
              <w:t xml:space="preserve">•  Sovereign Fund balance: approximately $5.5 trillion. The fund is now larger than the GDP of all but two countries in the world.</w:t>
            </w:r>
          </w:p>
          <w:p>
            <w:pPr>
              <w:spacing w:after="100" w:line="280"/>
            </w:pPr>
            <w:r>
              <w:rPr>
                <w:rFonts w:ascii="Georgia" w:cs="Georgia" w:eastAsia="Georgia" w:hAnsi="Georgia"/>
                <w:color w:val="1A1A1A"/>
                <w:sz w:val="21"/>
                <w:szCs w:val="21"/>
              </w:rPr>
              <w:t xml:space="preserve">•  Healthcare savings have produced approximately $2.6 trillion in cumulative federal surplus that has funded other platform expansions and reduced federal deficits.</w:t>
            </w:r>
          </w:p>
          <w:p>
            <w:pPr>
              <w:spacing w:after="100" w:line="280"/>
            </w:pPr>
            <w:r>
              <w:rPr>
                <w:rFonts w:ascii="Georgia" w:cs="Georgia" w:eastAsia="Georgia" w:hAnsi="Georgia"/>
                <w:color w:val="1A1A1A"/>
                <w:sz w:val="21"/>
                <w:szCs w:val="21"/>
              </w:rPr>
              <w:t xml:space="preserve">•  Childcare program runs a $135 billion annual surplus due to tax recovery from increased workforce participation.</w:t>
            </w:r>
          </w:p>
          <w:p>
            <w:pPr>
              <w:spacing w:after="100" w:line="280"/>
            </w:pPr>
            <w:r>
              <w:rPr>
                <w:rFonts w:ascii="Georgia" w:cs="Georgia" w:eastAsia="Georgia" w:hAnsi="Georgia"/>
                <w:color w:val="1A1A1A"/>
                <w:sz w:val="21"/>
                <w:szCs w:val="21"/>
              </w:rPr>
              <w:t xml:space="preserve">•  Mental health system runs a $152 billion annual surplus that funds workforce expansion and program improvement.</w:t>
            </w:r>
          </w:p>
          <w:p>
            <w:pPr>
              <w:spacing w:after="100" w:line="280"/>
            </w:pPr>
            <w:r>
              <w:rPr>
                <w:rFonts w:ascii="Georgia" w:cs="Georgia" w:eastAsia="Georgia" w:hAnsi="Georgia"/>
                <w:color w:val="1A1A1A"/>
                <w:sz w:val="21"/>
                <w:szCs w:val="21"/>
              </w:rPr>
              <w:t xml:space="preserve">•  Education Fund has accumulated approximately $850 billion, on track for free college coverage when the first birth-seed cohort reaches college age.</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Institutional capacity</w:t>
            </w:r>
          </w:p>
          <w:p>
            <w:pPr>
              <w:spacing w:after="100" w:line="280"/>
            </w:pPr>
            <w:r>
              <w:rPr>
                <w:rFonts w:ascii="Georgia" w:cs="Georgia" w:eastAsia="Georgia" w:hAnsi="Georgia"/>
                <w:color w:val="1A1A1A"/>
                <w:sz w:val="21"/>
                <w:szCs w:val="21"/>
              </w:rPr>
              <w:t xml:space="preserve">•  Healthcare delivery system has restructured around the multi-payer universal architecture. Approximately 50 large hospital systems and 15,000 medical practices operate primarily through the new system.</w:t>
            </w:r>
          </w:p>
          <w:p>
            <w:pPr>
              <w:spacing w:after="100" w:line="280"/>
            </w:pPr>
            <w:r>
              <w:rPr>
                <w:rFonts w:ascii="Georgia" w:cs="Georgia" w:eastAsia="Georgia" w:hAnsi="Georgia"/>
                <w:color w:val="1A1A1A"/>
                <w:sz w:val="21"/>
                <w:szCs w:val="21"/>
              </w:rPr>
              <w:t xml:space="preserve">•  Cost-based pricing reviews have produced significant reductions in prices for participating institutions. Approximately 75% of public universities and 40% of private universities now operate within the cost-based pricing framework.</w:t>
            </w:r>
          </w:p>
          <w:p>
            <w:pPr>
              <w:spacing w:after="100" w:line="280"/>
            </w:pPr>
            <w:r>
              <w:rPr>
                <w:rFonts w:ascii="Georgia" w:cs="Georgia" w:eastAsia="Georgia" w:hAnsi="Georgia"/>
                <w:color w:val="1A1A1A"/>
                <w:sz w:val="21"/>
                <w:szCs w:val="21"/>
              </w:rPr>
              <w:t xml:space="preserve">•  Sovereign Fund governance has matured. The independent board has demonstrated insulation from political pressure across two administrations.</w:t>
            </w:r>
          </w:p>
          <w:p>
            <w:pPr>
              <w:spacing w:after="100" w:line="280"/>
            </w:pPr>
            <w:r>
              <w:rPr>
                <w:rFonts w:ascii="Georgia" w:cs="Georgia" w:eastAsia="Georgia" w:hAnsi="Georgia"/>
                <w:color w:val="1A1A1A"/>
                <w:sz w:val="21"/>
                <w:szCs w:val="21"/>
              </w:rPr>
              <w:t xml:space="preserve">•  Civic infrastructure investments have begun showing results in voter turnout, civic engagement metrics, and revival of local journalism in approximately 200 communities.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Economic and demographic indicators</w:t>
            </w:r>
          </w:p>
          <w:p>
            <w:pPr>
              <w:spacing w:after="100" w:line="280"/>
            </w:pPr>
            <w:r>
              <w:rPr>
                <w:rFonts w:ascii="Georgia" w:cs="Georgia" w:eastAsia="Georgia" w:hAnsi="Georgia"/>
                <w:color w:val="1A1A1A"/>
                <w:sz w:val="21"/>
                <w:szCs w:val="21"/>
              </w:rPr>
              <w:t xml:space="preserve">•  Median household wealth has increased by approximately $90,000 compared to the pre-platform trajectory, due to combined effects of household savings, wage floor increases, and improved retirement accumulation.</w:t>
            </w:r>
          </w:p>
          <w:p>
            <w:pPr>
              <w:spacing w:after="100" w:line="280"/>
            </w:pPr>
            <w:r>
              <w:rPr>
                <w:rFonts w:ascii="Georgia" w:cs="Georgia" w:eastAsia="Georgia" w:hAnsi="Georgia"/>
                <w:color w:val="1A1A1A"/>
                <w:sz w:val="21"/>
                <w:szCs w:val="21"/>
              </w:rPr>
              <w:t xml:space="preserve">•  Income inequality, measured by Gini coefficient, has reduced from approximately 0.485 to approximately 0.445 — modest but measurable progress toward European norms.</w:t>
            </w:r>
          </w:p>
          <w:p>
            <w:pPr>
              <w:spacing w:after="100" w:line="280"/>
            </w:pPr>
            <w:r>
              <w:rPr>
                <w:rFonts w:ascii="Georgia" w:cs="Georgia" w:eastAsia="Georgia" w:hAnsi="Georgia"/>
                <w:color w:val="1A1A1A"/>
                <w:sz w:val="21"/>
                <w:szCs w:val="21"/>
              </w:rPr>
              <w:t xml:space="preserve">•  Workforce participation has increased by approximately 3 percentage points overall, with larger increases for women, parents of young children, and workers over 55.</w:t>
            </w:r>
          </w:p>
          <w:p>
            <w:pPr>
              <w:spacing w:after="100" w:line="280"/>
            </w:pPr>
            <w:r>
              <w:rPr>
                <w:rFonts w:ascii="Georgia" w:cs="Georgia" w:eastAsia="Georgia" w:hAnsi="Georgia"/>
                <w:color w:val="1A1A1A"/>
                <w:sz w:val="21"/>
                <w:szCs w:val="21"/>
              </w:rPr>
              <w:t xml:space="preserve">•  Life expectancy has begun to recover, having increased by approximately 1.2 years since platform enactment. The United States remains below peer nations but the gap is narrowing.</w:t>
            </w:r>
          </w:p>
          <w:p>
            <w:pPr>
              <w:spacing w:after="100" w:line="280"/>
            </w:pPr>
            <w:r>
              <w:rPr>
                <w:rFonts w:ascii="Georgia" w:cs="Georgia" w:eastAsia="Georgia" w:hAnsi="Georgia"/>
                <w:color w:val="1A1A1A"/>
                <w:sz w:val="21"/>
                <w:szCs w:val="21"/>
              </w:rPr>
              <w:t xml:space="preserve">•  Maternal and infant mortality rates have improved substantially. Mental health crisis indicators have improved measurably.</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“Year 10 is when the platform stops being a reform proposal and becomes the country's default. People who oppose it now have to argue against something Americans are using and benefiting from, which is a much harder political position than arguing against an idea.”</w:t>
            </w:r>
          </w:p>
        </w:tc>
      </w:tr>
    </w:tbl>
    <w:p>
      <w:r>
        <w:br w:type="pag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1F4E78" w:sz="18"/>
              <w:left w:val="none"/>
              <w:bottom w:val="single" w:color="1F4E78" w:sz="18"/>
              <w:right w:val="none"/>
            </w:tcBorders>
            <w:shd w:fill="E8F2F0" w:val="clear"/>
            <w:tcMar>
              <w:top w:type="dxa" w:w="240"/>
              <w:left w:type="dxa" w:w="280"/>
              <w:bottom w:type="dxa" w:w="240"/>
              <w:right w:type="dxa" w:w="280"/>
            </w:tcMar>
          </w:tcPr>
          <w:p>
            <w:pPr>
              <w:jc w:val="center"/>
            </w:pPr>
            <w:r>
              <w:rPr>
                <w:rFonts w:ascii="Arial" w:cs="Arial" w:eastAsia="Arial" w:hAnsi="Arial"/>
                <w:b/>
                <w:bCs/>
                <w:color w:val="1F4E78"/>
                <w:sz w:val="48"/>
                <w:szCs w:val="48"/>
              </w:rPr>
              <w:t xml:space="preserve">YEAR 15</w:t>
            </w:r>
          </w:p>
          <w:p>
            <w:pPr>
              <w:spacing w:before="100"/>
              <w:jc w:val="center"/>
            </w:pPr>
            <w:r>
              <w:rPr>
                <w:rFonts w:ascii="Georgia" w:cs="Georgia" w:eastAsia="Georgia" w:hAnsi="Georgia"/>
                <w:i/>
                <w:iCs/>
                <w:color w:val="1A1A1A"/>
                <w:sz w:val="22"/>
                <w:szCs w:val="22"/>
              </w:rPr>
              <w:t xml:space="preserve">Compound Phase — The Architecture Pays Forward</w:t>
            </w:r>
          </w:p>
        </w:tc>
      </w:tr>
    </w:tbl>
    <w:p>
      <w:pPr>
        <w:spacing w:after="200"/>
      </w:pPr>
      <w:r>
        <w:t xml:space="preserve"/>
      </w:r>
    </w:p>
    <w:p>
      <w:pPr>
        <w:pStyle w:val="Heading2"/>
        <w:spacing w:after="160" w:before="360"/>
      </w:pPr>
      <w:r>
        <w:rPr>
          <w:rFonts w:ascii="Arial" w:cs="Arial" w:eastAsia="Arial" w:hAnsi="Arial"/>
          <w:b/>
          <w:bCs/>
          <w:color w:val="1F4E78"/>
          <w:sz w:val="28"/>
          <w:szCs w:val="28"/>
        </w:rPr>
        <w:t xml:space="preserve">What Individuals Experience</w:t>
      </w:r>
    </w:p>
    <w:p>
      <w:pPr>
        <w:spacing w:after="240" w:line="340"/>
        <w:jc w:val="both"/>
      </w:pPr>
      <w:r>
        <w:rPr>
          <w:rFonts w:ascii="Georgia" w:cs="Georgia" w:eastAsia="Georgia" w:hAnsi="Georgia"/>
          <w:color w:val="1A1A1A"/>
          <w:sz w:val="24"/>
          <w:szCs w:val="24"/>
        </w:rPr>
        <w:t xml:space="preserve">Fifteen years in, the platform has produced effects that compound across generations. The first cohort of children born under the platform is approaching adulthood. The fiscal architecture has matured. The economic and social patterns have shifted in ways that are now part of how the country works.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For the median American household</w:t>
            </w:r>
          </w:p>
          <w:p>
            <w:pPr>
              <w:spacing w:after="100" w:line="280"/>
            </w:pPr>
            <w:r>
              <w:rPr>
                <w:rFonts w:ascii="Georgia" w:cs="Georgia" w:eastAsia="Georgia" w:hAnsi="Georgia"/>
                <w:color w:val="1A1A1A"/>
                <w:sz w:val="21"/>
                <w:szCs w:val="21"/>
              </w:rPr>
              <w:t xml:space="preserve">•  The platform is no longer experienced as new. It is the normal way Americans access healthcare, childcare, education, retirement security, and mental health support. Younger Americans have never experienced anything else.</w:t>
            </w:r>
          </w:p>
          <w:p>
            <w:pPr>
              <w:spacing w:after="100" w:line="280"/>
            </w:pPr>
            <w:r>
              <w:rPr>
                <w:rFonts w:ascii="Georgia" w:cs="Georgia" w:eastAsia="Georgia" w:hAnsi="Georgia"/>
                <w:color w:val="1A1A1A"/>
                <w:sz w:val="21"/>
                <w:szCs w:val="21"/>
              </w:rPr>
              <w:t xml:space="preserve">•  Cumulative household savings since enactment: approximately $200,000 for the median family. Many families have used these savings to build housing equity, support extended family, or accumulate retirement reserves.</w:t>
            </w:r>
          </w:p>
          <w:p>
            <w:pPr>
              <w:spacing w:after="100" w:line="280"/>
            </w:pPr>
            <w:r>
              <w:rPr>
                <w:rFonts w:ascii="Georgia" w:cs="Georgia" w:eastAsia="Georgia" w:hAnsi="Georgia"/>
                <w:color w:val="1A1A1A"/>
                <w:sz w:val="21"/>
                <w:szCs w:val="21"/>
              </w:rPr>
              <w:t xml:space="preserve">•  Healthcare costs are predictable and consistent. Out-of-pocket medical expenses, when they occur, are typically small enough not to require financial planning. Medical debt as a category of family financial concern has largely disappeared.</w:t>
            </w:r>
          </w:p>
          <w:p>
            <w:pPr>
              <w:spacing w:after="100" w:line="280"/>
            </w:pPr>
            <w:r>
              <w:rPr>
                <w:rFonts w:ascii="Georgia" w:cs="Georgia" w:eastAsia="Georgia" w:hAnsi="Georgia"/>
                <w:color w:val="1A1A1A"/>
                <w:sz w:val="21"/>
                <w:szCs w:val="21"/>
              </w:rPr>
              <w:t xml:space="preserve">•  Workforce mobility has become fundamentally easier. Workers change jobs, change careers, return to school, or take time for caregiving without the life-disrupting consequences these decisions used to carry.</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For young Americans</w:t>
            </w:r>
          </w:p>
          <w:p>
            <w:pPr>
              <w:spacing w:after="100" w:line="280"/>
            </w:pPr>
            <w:r>
              <w:rPr>
                <w:rFonts w:ascii="Georgia" w:cs="Georgia" w:eastAsia="Georgia" w:hAnsi="Georgia"/>
                <w:color w:val="1A1A1A"/>
                <w:sz w:val="21"/>
                <w:szCs w:val="21"/>
              </w:rPr>
              <w:t xml:space="preserve">•  Children born in the platform's launch year are now 14. They have grown up with universal healthcare, universal childcare, mental health access from the beginning, and the certainty that their education will be funded if they want it.</w:t>
            </w:r>
          </w:p>
          <w:p>
            <w:pPr>
              <w:spacing w:after="100" w:line="280"/>
            </w:pPr>
            <w:r>
              <w:rPr>
                <w:rFonts w:ascii="Georgia" w:cs="Georgia" w:eastAsia="Georgia" w:hAnsi="Georgia"/>
                <w:color w:val="1A1A1A"/>
                <w:sz w:val="21"/>
                <w:szCs w:val="21"/>
              </w:rPr>
              <w:t xml:space="preserve">•  First birth-seed cohort begins reaching college age in three years. The Sovereign Education Fund's capacity has accumulated to fully cover their education at participating institutions.</w:t>
            </w:r>
          </w:p>
          <w:p>
            <w:pPr>
              <w:spacing w:after="100" w:line="280"/>
            </w:pPr>
            <w:r>
              <w:rPr>
                <w:rFonts w:ascii="Georgia" w:cs="Georgia" w:eastAsia="Georgia" w:hAnsi="Georgia"/>
                <w:color w:val="1A1A1A"/>
                <w:sz w:val="21"/>
                <w:szCs w:val="21"/>
              </w:rPr>
              <w:t>•  Younger workers entering the labor market do so with retirement security substantially better than what their parents had at the same age. Personal account balances at age 25 average approximately $30,000 due to early-career Sovereign Fund growth.</w:t>
            </w:r>
          </w:p>
          <w:p>
            <w:pPr>
              <w:spacing w:after="100" w:line="280"/>
            </w:pPr>
            <w:r>
              <w:rPr>
                <w:rFonts w:ascii="Georgia" w:cs="Georgia" w:eastAsia="Georgia" w:hAnsi="Georgia"/>
                <w:color w:val="1A1A1A"/>
                <w:sz w:val="21"/>
                <w:szCs w:val="21"/>
              </w:rPr>
              <w:t xml:space="preserve">•  Career trajectories have shifted. The 'survival job' — employment taken primarily for healthcare access — is largely a memory. Young workers pursue work they actually want, taking risks they couldn't take before.</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For older Americans</w:t>
            </w:r>
          </w:p>
          <w:p>
            <w:pPr>
              <w:spacing w:after="100" w:line="280"/>
            </w:pPr>
            <w:r>
              <w:rPr>
                <w:rFonts w:ascii="Georgia" w:cs="Georgia" w:eastAsia="Georgia" w:hAnsi="Georgia"/>
                <w:color w:val="1A1A1A"/>
                <w:sz w:val="21"/>
                <w:szCs w:val="21"/>
              </w:rPr>
              <w:t xml:space="preserve">•  Workers retiring now have personal account balances of approximately $400,000 at retirement, in addition to grandfathered Social Security or replacement benefits. Average sustainable retirement income exceeds the median household working income, for the first time in American history.</w:t>
            </w:r>
          </w:p>
          <w:p>
            <w:pPr>
              <w:spacing w:after="100" w:line="280"/>
            </w:pPr>
            <w:r>
              <w:rPr>
                <w:rFonts w:ascii="Georgia" w:cs="Georgia" w:eastAsia="Georgia" w:hAnsi="Georgia"/>
                <w:color w:val="1A1A1A"/>
                <w:sz w:val="21"/>
                <w:szCs w:val="21"/>
              </w:rPr>
              <w:t xml:space="preserve">•  The combination of healthcare access, mental health support, and financial security has produced measurably improved quality of life for older Americans. Loneliness, financial stress, and untreated illness in older age have declined substantially.</w:t>
            </w:r>
          </w:p>
          <w:p>
            <w:pPr>
              <w:spacing w:after="100" w:line="280"/>
            </w:pPr>
            <w:r>
              <w:rPr>
                <w:rFonts w:ascii="Georgia" w:cs="Georgia" w:eastAsia="Georgia" w:hAnsi="Georgia"/>
                <w:color w:val="1A1A1A"/>
                <w:sz w:val="21"/>
                <w:szCs w:val="21"/>
              </w:rPr>
              <w:t xml:space="preserve">•  Long-term care has become a focus of ongoing policy work, addressed through separate legislation that builds on the platform's infrastructure.</w:t>
            </w:r>
          </w:p>
        </w:tc>
      </w:tr>
    </w:tbl>
    <w:p>
      <w:pPr>
        <w:pStyle w:val="Heading2"/>
        <w:spacing w:after="160" w:before="360"/>
      </w:pPr>
      <w:r>
        <w:rPr>
          <w:rFonts w:ascii="Arial" w:cs="Arial" w:eastAsia="Arial" w:hAnsi="Arial"/>
          <w:b/>
          <w:bCs/>
          <w:color w:val="1F4E78"/>
          <w:sz w:val="28"/>
          <w:szCs w:val="28"/>
        </w:rPr>
        <w:t xml:space="preserve">What the Country Experiences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Fiscal trajectory</w:t>
            </w:r>
          </w:p>
          <w:p>
            <w:pPr>
              <w:spacing w:after="100" w:line="280"/>
            </w:pPr>
            <w:r>
              <w:rPr>
                <w:rFonts w:ascii="Georgia" w:cs="Georgia" w:eastAsia="Georgia" w:hAnsi="Georgia"/>
                <w:color w:val="1A1A1A"/>
                <w:sz w:val="21"/>
                <w:szCs w:val="21"/>
              </w:rPr>
              <w:t>•  Sovereign Fund balance: approximately $11 trillion. The fund is now generating returns exceeding $600 billion per year, which support program expansion, deficit reduction, and the Future Capacity Fund.</w:t>
            </w:r>
          </w:p>
          <w:p>
            <w:pPr>
              <w:spacing w:after="100" w:line="280"/>
            </w:pPr>
            <w:r>
              <w:rPr>
                <w:rFonts w:ascii="Georgia" w:cs="Georgia" w:eastAsia="Georgia" w:hAnsi="Georgia"/>
                <w:color w:val="1A1A1A"/>
                <w:sz w:val="21"/>
                <w:szCs w:val="21"/>
              </w:rPr>
              <w:t xml:space="preserve">•  Federal deficits have shifted toward sustainable levels. The reduction in healthcare cost trajectory alone produces approximately $3 trillion in cumulative federal savings over fifteen years.</w:t>
            </w:r>
          </w:p>
          <w:p>
            <w:pPr>
              <w:spacing w:after="100" w:line="280"/>
            </w:pPr>
            <w:r>
              <w:rPr>
                <w:rFonts w:ascii="Georgia" w:cs="Georgia" w:eastAsia="Georgia" w:hAnsi="Georgia"/>
                <w:color w:val="1A1A1A"/>
                <w:sz w:val="21"/>
                <w:szCs w:val="21"/>
              </w:rPr>
              <w:t xml:space="preserve">•  First Sovereign Education Fund disbursements to colleges begin in three years (Year 18 of platform). Cost-based pricing system is fully operational and tested.</w:t>
            </w:r>
          </w:p>
          <w:p>
            <w:pPr>
              <w:spacing w:after="100" w:line="280"/>
            </w:pPr>
            <w:r>
              <w:rPr>
                <w:rFonts w:ascii="Georgia" w:cs="Georgia" w:eastAsia="Georgia" w:hAnsi="Georgia"/>
                <w:color w:val="1A1A1A"/>
                <w:sz w:val="21"/>
                <w:szCs w:val="21"/>
              </w:rPr>
              <w:t xml:space="preserve">•  Future Capacity Fund (whichever architectural path was selected) has accumulated meaningful capacity. Has either funded several state-level demonstration pilots (Path B) or accumulated unutilized for unforeseen future needs (Path A).</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Economic transformation</w:t>
            </w:r>
          </w:p>
          <w:p>
            <w:pPr>
              <w:spacing w:after="100" w:line="280"/>
            </w:pPr>
            <w:r>
              <w:rPr>
                <w:rFonts w:ascii="Georgia" w:cs="Georgia" w:eastAsia="Georgia" w:hAnsi="Georgia"/>
                <w:color w:val="1A1A1A"/>
                <w:sz w:val="21"/>
                <w:szCs w:val="21"/>
              </w:rPr>
              <w:t xml:space="preserve">•  United States median household wealth has shifted from near the bottom of developed nations to near the middle. Substantial gap remains with the highest peers (Switzerland, Norway, Australia), but the gap is closing.</w:t>
            </w:r>
          </w:p>
          <w:p>
            <w:pPr>
              <w:spacing w:after="100" w:line="280"/>
            </w:pPr>
            <w:r>
              <w:rPr>
                <w:rFonts w:ascii="Georgia" w:cs="Georgia" w:eastAsia="Georgia" w:hAnsi="Georgia"/>
                <w:color w:val="1A1A1A"/>
                <w:sz w:val="21"/>
                <w:szCs w:val="21"/>
              </w:rPr>
              <w:t xml:space="preserve">•  Income inequality has continued reducing toward European norms. The country is more economically secure for ordinary households than it has been in fifty years.</w:t>
            </w:r>
          </w:p>
          <w:p>
            <w:pPr>
              <w:spacing w:after="100" w:line="280"/>
            </w:pPr>
            <w:r>
              <w:rPr>
                <w:rFonts w:ascii="Georgia" w:cs="Georgia" w:eastAsia="Georgia" w:hAnsi="Georgia"/>
                <w:color w:val="1A1A1A"/>
                <w:sz w:val="21"/>
                <w:szCs w:val="21"/>
              </w:rPr>
              <w:t xml:space="preserve">•  AI workforce displacement, which peaked in years 8-12, has been substantially absorbed by the platform's transition infrastructure. New occupations have emerged. Workers who would have faced catastrophic life consequences in the old system have transitioned without losing healthcare, childcare, retirement security, or housing.</w:t>
            </w:r>
          </w:p>
          <w:p>
            <w:pPr>
              <w:spacing w:after="100" w:line="280"/>
            </w:pPr>
            <w:r>
              <w:rPr>
                <w:rFonts w:ascii="Georgia" w:cs="Georgia" w:eastAsia="Georgia" w:hAnsi="Georgia"/>
                <w:color w:val="1A1A1A"/>
                <w:sz w:val="21"/>
                <w:szCs w:val="21"/>
              </w:rPr>
              <w:t xml:space="preserve">•  Care work — nursing, mental health, childcare, eldercare, teaching — has become more attractive as a profession due to wage floor effects. The country has more care workers, doing better-paid work, with more job security.</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Institutional and political consequences</w:t>
            </w:r>
          </w:p>
          <w:p>
            <w:pPr>
              <w:spacing w:after="100" w:line="280"/>
            </w:pPr>
            <w:r>
              <w:rPr>
                <w:rFonts w:ascii="Georgia" w:cs="Georgia" w:eastAsia="Georgia" w:hAnsi="Georgia"/>
                <w:color w:val="1A1A1A"/>
                <w:sz w:val="21"/>
                <w:szCs w:val="21"/>
              </w:rPr>
              <w:t xml:space="preserve">•  The platform has survived the first major political coalition change. Initial opposition has shifted from 'repeal it' to 'modify it' to 'expand it differently' — the institutional pattern that has historically protected Social Security and Medicare.</w:t>
            </w:r>
          </w:p>
          <w:p>
            <w:pPr>
              <w:spacing w:after="100" w:line="280"/>
            </w:pPr>
            <w:r>
              <w:rPr>
                <w:rFonts w:ascii="Georgia" w:cs="Georgia" w:eastAsia="Georgia" w:hAnsi="Georgia"/>
                <w:color w:val="1A1A1A"/>
                <w:sz w:val="21"/>
                <w:szCs w:val="21"/>
              </w:rPr>
              <w:t xml:space="preserve">•  International influence has shifted. Other countries are studying the American Sovereign Fund architecture as the United States previously studied Norway's GPFG. The American model has proven exportable in modified form.</w:t>
            </w:r>
          </w:p>
          <w:p>
            <w:pPr>
              <w:spacing w:after="100" w:line="280"/>
            </w:pPr>
            <w:r>
              <w:rPr>
                <w:rFonts w:ascii="Georgia" w:cs="Georgia" w:eastAsia="Georgia" w:hAnsi="Georgia"/>
                <w:color w:val="1A1A1A"/>
                <w:sz w:val="21"/>
                <w:szCs w:val="21"/>
              </w:rPr>
              <w:t xml:space="preserve">•  Civic engagement metrics have improved measurably. Voter turnout, local journalism vitality, public meeting participation, and civic education outcomes all show positive trends.</w:t>
            </w:r>
          </w:p>
          <w:p>
            <w:pPr>
              <w:spacing w:after="100" w:line="280"/>
            </w:pPr>
            <w:r>
              <w:rPr>
                <w:rFonts w:ascii="Georgia" w:cs="Georgia" w:eastAsia="Georgia" w:hAnsi="Georgia"/>
                <w:color w:val="1A1A1A"/>
                <w:sz w:val="21"/>
                <w:szCs w:val="21"/>
              </w:rPr>
              <w:t xml:space="preserve">•  Trust in federal institutions has begun to recover from historic lows. The platform's transparent governance has demonstrated that federal institutions can operate with the integrity their founding charters intended.</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What hasn't been solved</w:t>
            </w:r>
          </w:p>
          <w:p>
            <w:pPr>
              <w:spacing w:after="100" w:line="280"/>
            </w:pPr>
            <w:r>
              <w:rPr>
                <w:rFonts w:ascii="Georgia" w:cs="Georgia" w:eastAsia="Georgia" w:hAnsi="Georgia"/>
                <w:color w:val="1A1A1A"/>
                <w:sz w:val="21"/>
                <w:szCs w:val="21"/>
              </w:rPr>
              <w:t xml:space="preserve">•  Long-term care for older Americans remains an unsolved infrastructure gap, addressed by separate ongoing policy work.</w:t>
            </w:r>
          </w:p>
          <w:p>
            <w:pPr>
              <w:spacing w:after="100" w:line="280"/>
            </w:pPr>
            <w:r>
              <w:rPr>
                <w:rFonts w:ascii="Georgia" w:cs="Georgia" w:eastAsia="Georgia" w:hAnsi="Georgia"/>
                <w:color w:val="1A1A1A"/>
                <w:sz w:val="21"/>
                <w:szCs w:val="21"/>
              </w:rPr>
              <w:t xml:space="preserve">•  Housing affordability has not been addressed by the platform and remains a major source of household financial stress in expensive metropolitan areas.</w:t>
            </w:r>
          </w:p>
          <w:p>
            <w:pPr>
              <w:spacing w:after="100" w:line="280"/>
            </w:pPr>
            <w:r>
              <w:rPr>
                <w:rFonts w:ascii="Georgia" w:cs="Georgia" w:eastAsia="Georgia" w:hAnsi="Georgia"/>
                <w:color w:val="1A1A1A"/>
                <w:sz w:val="21"/>
                <w:szCs w:val="21"/>
              </w:rPr>
              <w:t xml:space="preserve">•  Climate adaptation requires resources beyond what the platform addresses, drawing on Future Capacity Fund disbursements as authorized.</w:t>
            </w:r>
          </w:p>
          <w:p>
            <w:pPr>
              <w:spacing w:after="100" w:line="280"/>
            </w:pPr>
            <w:r>
              <w:rPr>
                <w:rFonts w:ascii="Georgia" w:cs="Georgia" w:eastAsia="Georgia" w:hAnsi="Georgia"/>
                <w:color w:val="1A1A1A"/>
                <w:sz w:val="21"/>
                <w:szCs w:val="21"/>
              </w:rPr>
              <w:t xml:space="preserve">•  Geographic inequality persists. Rural areas have benefited substantially but still lag urban areas on access to specialists in healthcare and mental health.</w:t>
            </w:r>
          </w:p>
          <w:p>
            <w:pPr>
              <w:spacing w:after="100" w:line="280"/>
            </w:pPr>
            <w:r>
              <w:rPr>
                <w:rFonts w:ascii="Georgia" w:cs="Georgia" w:eastAsia="Georgia" w:hAnsi="Georgia"/>
                <w:color w:val="1A1A1A"/>
                <w:sz w:val="21"/>
                <w:szCs w:val="21"/>
              </w:rPr>
              <w:t xml:space="preserve">•  Educational quality variations persist across institutions. The platform funds access but does not solve the harder problem of differential educational quality.</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“Year 15 is when Americans look back at the pre-platform period the way Europeans look back at the era before universal healthcare — with bewilderment that anyone tolerated the old system, and gratitude that it has been replaced.”</w:t>
            </w:r>
          </w:p>
        </w:tc>
      </w:tr>
    </w:tbl>
    <w:p>
      <w:r>
        <w:br w:type="page"/>
      </w:r>
    </w:p>
    <w:p>
      <w:pPr>
        <w:pStyle w:val="Heading1"/>
        <w:spacing w:after="240" w:before="480"/>
      </w:pPr>
      <w:r>
        <w:rPr>
          <w:rFonts w:ascii="Arial" w:cs="Arial" w:eastAsia="Arial" w:hAnsi="Arial"/>
          <w:b/>
          <w:bCs/>
          <w:color w:val="1F4E78"/>
          <w:sz w:val="36"/>
          <w:szCs w:val="36"/>
        </w:rPr>
        <w:t xml:space="preserve">What This Document Is and Is Not</w:t>
      </w:r>
    </w:p>
    <w:p>
      <w:pPr>
        <w:spacing w:after="240" w:line="340"/>
        <w:jc w:val="both"/>
      </w:pPr>
      <w:r>
        <w:rPr>
          <w:rFonts w:ascii="Georgia" w:cs="Georgia" w:eastAsia="Georgia" w:hAnsi="Georgia"/>
          <w:color w:val="1A1A1A"/>
          <w:sz w:val="24"/>
          <w:szCs w:val="24"/>
        </w:rPr>
        <w:t xml:space="preserve">This document is a thought experiment. It is not a prediction. The distinction matters and deserves explicit acknowledgment.</w:t>
      </w:r>
    </w:p>
    <w:p>
      <w:pPr>
        <w:spacing w:after="200" w:line="320"/>
        <w:jc w:val="both"/>
      </w:pPr>
      <w:r>
        <w:rPr>
          <w:rFonts w:ascii="Georgia" w:cs="Georgia" w:eastAsia="Georgia" w:hAnsi="Georgia"/>
          <w:color w:val="1A1A1A"/>
          <w:sz w:val="22"/>
          <w:szCs w:val="22"/>
        </w:rPr>
        <w:t>The milestones described above represent what the platform's mathematical models, international precedents, and stated assumptions support as plausible trajectories. They are grounded in real analytical work — the Sovereign Fund balance figures come from the Combined Reform Model, the healthcare cost reductions come from the universal healthcare Model, the wage floor effects come from the empirical analysis of 81 occupations, and so on. These are not numbers pulled from optimism.</w:t>
      </w:r>
    </w:p>
    <w:p>
      <w:pPr>
        <w:spacing w:after="200" w:line="320"/>
        <w:jc w:val="both"/>
      </w:pPr>
      <w:r>
        <w:rPr>
          <w:rFonts w:ascii="Georgia" w:cs="Georgia" w:eastAsia="Georgia" w:hAnsi="Georgia"/>
          <w:color w:val="1A1A1A"/>
          <w:sz w:val="22"/>
          <w:szCs w:val="22"/>
        </w:rPr>
        <w:t xml:space="preserve">At the same time, the milestones blend optimistic but defensible interpretations of what the analysis supports. Real-world implementation will produce variations. Some pillars will exceed projections; some will fall short. Political contingencies will affect timelines. Economic shocks during the implementation period (recessions, technological disruptions, geopolitical events) will affect the trajectory in ways the models cannot fully anticipate. Workforce expansion in childcare and mental health may move faster or slower than the projections assume. Cost containment in healthcare faces strong industry opposition that may produce more compromise than the models reflect.</w:t>
      </w:r>
    </w:p>
    <w:p>
      <w:pPr>
        <w:spacing w:after="200" w:line="320"/>
        <w:jc w:val="both"/>
      </w:pPr>
      <w:r>
        <w:rPr>
          <w:rFonts w:ascii="Georgia" w:cs="Georgia" w:eastAsia="Georgia" w:hAnsi="Georgia"/>
          <w:color w:val="1A1A1A"/>
          <w:sz w:val="22"/>
          <w:szCs w:val="22"/>
        </w:rPr>
        <w:t xml:space="preserve">The honest reading of this document is therefore: this is what the platform could plausibly produce if implemented under reasonably favorable conditions, drawing on the analytical foundation the platform documents establish. It is not what will happen. It is what might happen. The difference matters because policy proposals should be evaluated for their range of likely outcomes, not for their best-case scenarios alone.</w:t>
      </w:r>
    </w:p>
    <w:p>
      <w:pPr>
        <w:pStyle w:val="Heading3"/>
        <w:spacing w:after="120" w:before="240"/>
      </w:pPr>
      <w:r>
        <w:rPr>
          <w:rFonts w:ascii="Arial" w:cs="Arial" w:eastAsia="Arial" w:hAnsi="Arial"/>
          <w:b/>
          <w:bCs/>
          <w:color w:val="C00000"/>
          <w:sz w:val="22"/>
          <w:szCs w:val="22"/>
        </w:rPr>
        <w:t xml:space="preserve">The Range of Possible Outcomes</w:t>
      </w:r>
    </w:p>
    <w:p>
      <w:pPr>
        <w:spacing w:after="200" w:line="320"/>
        <w:jc w:val="both"/>
      </w:pPr>
      <w:r>
        <w:rPr>
          <w:rFonts w:ascii="Georgia" w:cs="Georgia" w:eastAsia="Georgia" w:hAnsi="Georgia"/>
          <w:color w:val="1A1A1A"/>
          <w:sz w:val="22"/>
          <w:szCs w:val="22"/>
        </w:rPr>
        <w:t xml:space="preserve">The most optimistic outcome is roughly captured by the milestones above — the platform reaches its target trajectories, the institutions function as designed, the economic and social benefits compound across the years. This is a defensible scenario but not the only one.</w:t>
      </w:r>
    </w:p>
    <w:p>
      <w:pPr>
        <w:spacing w:after="200" w:line="320"/>
        <w:jc w:val="both"/>
      </w:pPr>
      <w:r>
        <w:rPr>
          <w:rFonts w:ascii="Georgia" w:cs="Georgia" w:eastAsia="Georgia" w:hAnsi="Georgia"/>
          <w:color w:val="1A1A1A"/>
          <w:sz w:val="22"/>
          <w:szCs w:val="22"/>
        </w:rPr>
        <w:t xml:space="preserve">A middle outcome involves slower workforce buildout in some sectors, more compromise on cost containment than the models assume, partial implementation of some pillars, and political pressure that erodes some governance protections over time. The platform still produces substantial benefits, but smaller than the optimistic milestones suggest. Median household savings might be $7,000 per year rather than $11,500. Healthcare costs might stabilize at $11,000 per capita rather than $9,500. Coverage might be 95% universal rather than 100%. The country still becomes substantially better than the pre-platform trajectory, but the milestones look more modest.</w:t>
      </w:r>
    </w:p>
    <w:p>
      <w:pPr>
        <w:spacing w:after="200" w:line="320"/>
        <w:jc w:val="both"/>
      </w:pPr>
      <w:r>
        <w:rPr>
          <w:rFonts w:ascii="Georgia" w:cs="Georgia" w:eastAsia="Georgia" w:hAnsi="Georgia"/>
          <w:color w:val="1A1A1A"/>
          <w:sz w:val="22"/>
          <w:szCs w:val="22"/>
        </w:rPr>
        <w:t xml:space="preserve">A pessimistic outcome involves significant reversal of some pillars by subsequent political coalitions, major implementation failures in one or more pillars, economic shocks that overwhelm the platform's absorption capacity, or governance failures that compromise the Sovereign Fund's integrity. In this scenario, some platform components survive and produce meaningful benefits while others fail. The country is better off than the pre-platform baseline in some respects and worse in others, depending on which pillars survived and which didn't.</w:t>
      </w:r>
    </w:p>
    <w:p>
      <w:pPr>
        <w:spacing w:after="200" w:line="320"/>
        <w:jc w:val="both"/>
      </w:pPr>
      <w:r>
        <w:rPr>
          <w:rFonts w:ascii="Georgia" w:cs="Georgia" w:eastAsia="Georgia" w:hAnsi="Georgia"/>
          <w:color w:val="1A1A1A"/>
          <w:sz w:val="22"/>
          <w:szCs w:val="22"/>
        </w:rPr>
        <w:t xml:space="preserve">The honest case for the platform doesn't require the optimistic outcome. Even the middle outcome produces substantial improvements over the pre-platform trajectory. The pessimistic outcome, while disappointing, doesn't actively harm citizens beyond the implementation costs of the components that fail. The platform's downside risks are bounded; its upside potential is substantial. This is the asymmetric risk profile that makes the platform worth pursuing even with full awareness that the optimistic outcome may not be achieved.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line="300"/>
            </w:pPr>
            <w:r>
              <w:rPr>
                <w:rFonts w:ascii="Georgia" w:cs="Georgia" w:eastAsia="Georgia" w:hAnsi="Georgia"/>
                <w:i/>
                <w:iCs/>
                <w:color w:val="1A1A1A"/>
                <w:sz w:val="22"/>
                <w:szCs w:val="22"/>
              </w:rPr>
              <w:t xml:space="preserve">This document presents the optimistic-but-defensible trajectory because that's what the analytical foundation supports as the platform's intended outcome. Readers should evaluate the platform with explicit awareness that real outcomes will vary, sometimes substantially, from what is described here.</w:t>
            </w:r>
          </w:p>
        </w:tc>
      </w:tr>
    </w:tbl>
    <w:p>
      <w:r>
        <w:br w:type="page"/>
      </w:r>
    </w:p>
    <w:p>
      <w:pPr>
        <w:pStyle w:val="Heading1"/>
        <w:spacing w:after="240" w:before="480"/>
      </w:pPr>
      <w:r>
        <w:rPr>
          <w:rFonts w:ascii="Arial" w:cs="Arial" w:eastAsia="Arial" w:hAnsi="Arial"/>
          <w:b/>
          <w:bCs/>
          <w:color w:val="1F4E78"/>
          <w:sz w:val="36"/>
          <w:szCs w:val="36"/>
        </w:rPr>
        <w:t xml:space="preserve">Beyond Year 15</w:t>
      </w:r>
    </w:p>
    <w:p>
      <w:pPr>
        <w:spacing w:after="240" w:line="340"/>
        <w:jc w:val="both"/>
      </w:pPr>
      <w:r>
        <w:rPr>
          <w:rFonts w:ascii="Georgia" w:cs="Georgia" w:eastAsia="Georgia" w:hAnsi="Georgia"/>
          <w:color w:val="1A1A1A"/>
          <w:sz w:val="24"/>
          <w:szCs w:val="24"/>
        </w:rPr>
        <w:t xml:space="preserve">The platform's most important effects emerge after Year 15, as the architecture's compound growth produces consequences that the early years cannot demonstrate. Several long-horizon effects deserve mention even though detailed projections at those timeframes carry more uncertainty.</w:t>
      </w:r>
    </w:p>
    <w:p>
      <w:pPr>
        <w:pStyle w:val="Heading3"/>
        <w:spacing w:after="120" w:before="240"/>
      </w:pPr>
      <w:r>
        <w:rPr>
          <w:rFonts w:ascii="Arial" w:cs="Arial" w:eastAsia="Arial" w:hAnsi="Arial"/>
          <w:b/>
          <w:bCs/>
          <w:color w:val="C00000"/>
          <w:sz w:val="22"/>
          <w:szCs w:val="22"/>
        </w:rPr>
        <w:t xml:space="preserve">Year 18: First Birth-Seed Cohort Reaches College</w:t>
      </w:r>
    </w:p>
    <w:p>
      <w:pPr>
        <w:spacing w:after="200" w:line="320"/>
        <w:jc w:val="both"/>
      </w:pPr>
      <w:r>
        <w:rPr>
          <w:rFonts w:ascii="Georgia" w:cs="Georgia" w:eastAsia="Georgia" w:hAnsi="Georgia"/>
          <w:color w:val="1A1A1A"/>
          <w:sz w:val="22"/>
          <w:szCs w:val="22"/>
        </w:rPr>
        <w:t xml:space="preserve">Children born in Year 1 of the platform reach college age in Year 18. The Sovereign Education Fund makes its first major disbursements to support their education. The full cycle of birth-seed contribution, eighteen-year compound growth, and educational disbursement is operational. From this point forward, every American has access to free college funded by the architecture they were born into.</w:t>
      </w:r>
    </w:p>
    <w:p>
      <w:pPr>
        <w:pStyle w:val="Heading3"/>
        <w:spacing w:after="120" w:before="240"/>
      </w:pPr>
      <w:r>
        <w:rPr>
          <w:rFonts w:ascii="Arial" w:cs="Arial" w:eastAsia="Arial" w:hAnsi="Arial"/>
          <w:b/>
          <w:bCs/>
          <w:color w:val="C00000"/>
          <w:sz w:val="22"/>
          <w:szCs w:val="22"/>
        </w:rPr>
        <w:t xml:space="preserve">Year 25: Self-Sustaining Architecture</w:t>
      </w:r>
    </w:p>
    <w:p>
      <w:pPr>
        <w:spacing w:after="200" w:line="320"/>
        <w:jc w:val="both"/>
      </w:pPr>
      <w:r>
        <w:rPr>
          <w:rFonts w:ascii="Georgia" w:cs="Georgia" w:eastAsia="Georgia" w:hAnsi="Georgia"/>
          <w:color w:val="1A1A1A"/>
          <w:sz w:val="22"/>
          <w:szCs w:val="22"/>
        </w:rPr>
        <w:t>By Year 25, the Sovereign Fund balance reaches approximately $25 trillion. The fund's annual returns exceed $1.5 trillion. The architecture is fully self-sustaining — it generates more than enough resources to fund its own operations, expand its educational disbursements, and support whatever Future Capacity Fund deployments are authorized. The platform's components have all reached steady-state operation.</w:t>
      </w:r>
    </w:p>
    <w:p>
      <w:pPr>
        <w:pStyle w:val="Heading3"/>
        <w:spacing w:after="120" w:before="240"/>
      </w:pPr>
      <w:r>
        <w:rPr>
          <w:rFonts w:ascii="Arial" w:cs="Arial" w:eastAsia="Arial" w:hAnsi="Arial"/>
          <w:b/>
          <w:bCs/>
          <w:color w:val="C00000"/>
          <w:sz w:val="22"/>
          <w:szCs w:val="22"/>
        </w:rPr>
        <w:t xml:space="preserve">Year 40: Generation One Retires</w:t>
      </w:r>
    </w:p>
    <w:p>
      <w:pPr>
        <w:spacing w:after="200" w:line="320"/>
        <w:jc w:val="both"/>
      </w:pPr>
      <w:r>
        <w:rPr>
          <w:rFonts w:ascii="Georgia" w:cs="Georgia" w:eastAsia="Georgia" w:hAnsi="Georgia"/>
          <w:color w:val="1A1A1A"/>
          <w:sz w:val="22"/>
          <w:szCs w:val="22"/>
        </w:rPr>
        <w:t xml:space="preserve">By Year 40, the first generation of workers who spent their entire careers under the platform begins retiring. Their personal account balances average approximately $1.2 million. Their retirement security is substantially better than any generation of American workers has experienced. The intergenerational architecture has demonstrated that pooled contribution under transparent governance produces shared prosperity at scale.</w:t>
      </w:r>
    </w:p>
    <w:p>
      <w:pPr>
        <w:pStyle w:val="Heading3"/>
        <w:spacing w:after="120" w:before="240"/>
      </w:pPr>
      <w:r>
        <w:rPr>
          <w:rFonts w:ascii="Arial" w:cs="Arial" w:eastAsia="Arial" w:hAnsi="Arial"/>
          <w:b/>
          <w:bCs/>
          <w:color w:val="C00000"/>
          <w:sz w:val="22"/>
          <w:szCs w:val="22"/>
        </w:rPr>
        <w:t xml:space="preserve">Year 60: The Architecture Approaches Maturity</w:t>
      </w:r>
    </w:p>
    <w:p>
      <w:pPr>
        <w:spacing w:after="200" w:line="320"/>
        <w:jc w:val="both"/>
      </w:pPr>
      <w:r>
        <w:rPr>
          <w:rFonts w:ascii="Georgia" w:cs="Georgia" w:eastAsia="Georgia" w:hAnsi="Georgia"/>
          <w:color w:val="1A1A1A"/>
          <w:sz w:val="22"/>
          <w:szCs w:val="22"/>
        </w:rPr>
        <w:t xml:space="preserve">By Year 60, the Sovereign Fund balance approaches $122 trillion as the Combined Reform Model projected. The fund is the largest financial institution in human history. Its returns alone, if disbursed sustainably, could fund all of American federal government spending. The country has built infrastructure that addresses problems future generations will face that cannot currently be foreseen, while continuing to support the programs the platform's primary pillars established.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“What we build for ourselves becomes what our descendants inherit. The platform's most important benefits accrue to people who haven't been born yet.”</w:t>
            </w:r>
          </w:p>
        </w:tc>
      </w:tr>
    </w:tbl>
    <w:p>
      <w:r>
        <w:br w:type="page"/>
      </w:r>
    </w:p>
    <w:p>
      <w:pPr>
        <w:pStyle w:val="Heading1"/>
        <w:spacing w:after="240" w:before="480"/>
      </w:pPr>
      <w:r>
        <w:rPr>
          <w:rFonts w:ascii="Arial" w:cs="Arial" w:eastAsia="Arial" w:hAnsi="Arial"/>
          <w:b/>
          <w:bCs/>
          <w:color w:val="1F4E78"/>
          <w:sz w:val="36"/>
          <w:szCs w:val="36"/>
        </w:rPr>
        <w:t xml:space="preserve">Closing</w:t>
      </w:r>
    </w:p>
    <w:p>
      <w:pPr>
        <w:spacing w:after="240" w:line="340"/>
        <w:jc w:val="both"/>
      </w:pPr>
      <w:r>
        <w:rPr>
          <w:rFonts w:ascii="Georgia" w:cs="Georgia" w:eastAsia="Georgia" w:hAnsi="Georgia"/>
          <w:color w:val="1A1A1A"/>
          <w:sz w:val="24"/>
          <w:szCs w:val="24"/>
        </w:rPr>
        <w:t xml:space="preserve">The milestones in this document describe what could become the new normal in American life if the platform is enacted. The technical foundation supports this trajectory. The political path to enactment remains uncertain.</w:t>
      </w:r>
    </w:p>
    <w:p>
      <w:pPr>
        <w:spacing w:after="200" w:line="320"/>
        <w:jc w:val="both"/>
      </w:pPr>
      <w:r>
        <w:rPr>
          <w:rFonts w:ascii="Georgia" w:cs="Georgia" w:eastAsia="Georgia" w:hAnsi="Georgia"/>
          <w:color w:val="1A1A1A"/>
          <w:sz w:val="22"/>
          <w:szCs w:val="22"/>
        </w:rPr>
        <w:t xml:space="preserve">What the document hopes to establish is that the trajectory is concrete enough to be evaluated and ambitious enough to be worth pursuing. The platform is not promising abstract improvements. It is proposing specific changes — universal healthcare access, predictable childcare costs, reliable retirement security, mental health support, free college, decent wages — with measurable timelines and defensible analytical foundations.</w:t>
      </w:r>
    </w:p>
    <w:p>
      <w:pPr>
        <w:spacing w:after="200" w:line="320"/>
        <w:jc w:val="both"/>
      </w:pPr>
      <w:r>
        <w:rPr>
          <w:rFonts w:ascii="Georgia" w:cs="Georgia" w:eastAsia="Georgia" w:hAnsi="Georgia"/>
          <w:color w:val="1A1A1A"/>
          <w:sz w:val="22"/>
          <w:szCs w:val="22"/>
        </w:rPr>
        <w:t xml:space="preserve">Readers who find these milestones desirable should recognize that achieving them requires the political work that platform documents alone cannot accomplish. Readers who find them implausible should engage with the underlying analytical foundation rather than dismissing the trajectory based on intuition. Readers who find them concerning should articulate which specific aspects concern them and which alternatives they would prefer, so that the platform can engage with substantive critique rather than reflexive opposition.</w:t>
      </w:r>
    </w:p>
    <w:p>
      <w:pPr>
        <w:spacing w:after="200" w:line="320"/>
        <w:jc w:val="both"/>
      </w:pPr>
      <w:r>
        <w:rPr>
          <w:rFonts w:ascii="Georgia" w:cs="Georgia" w:eastAsia="Georgia" w:hAnsi="Georgia"/>
          <w:color w:val="1A1A1A"/>
          <w:sz w:val="22"/>
          <w:szCs w:val="22"/>
        </w:rPr>
        <w:t xml:space="preserve">The document closes with the observation that timelines like these depend on choices being made now. The infrastructure for the country described at Year 15 must be built starting at Year 1. The work of getting from here to there is the work that remains, and it is human work rather than analytical work. The platform documents have laid the analytical foundation. What follows is the harder task of converting analytical foundation into political reality.</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future is built before it arrives. The country described here is the country we could become, if we choose to. The choosing happens now or it doesn't happen at all.”</w:t>
            </w:r>
          </w:p>
        </w:tc>
      </w:tr>
    </w:tbl>
    <w:p>
      <w:pPr>
        <w:spacing w:after="400"/>
      </w:pPr>
      <w:r>
        <w:t xml:space="preserve"/>
      </w:r>
    </w:p>
    <w:p>
      <w:pPr>
        <w:spacing w:after="10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i/>
          <w:iCs/>
          <w:color w:val="595959"/>
          <w:sz w:val="22"/>
          <w:szCs w:val="22"/>
        </w:rPr>
        <w:t xml:space="preserve">Ohio, 2026</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Milestones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3,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What Changes — Future State Milestones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Changes — Future State Milestones</dc:title>
  <dc:creator>Jason</dc:creator>
  <cp:lastModifiedBy>Un-named</cp:lastModifiedBy>
  <cp:revision>1</cp:revision>
  <dcterms:created xsi:type="dcterms:W3CDTF">2026-05-03T14:25:26.574Z</dcterms:created>
  <dcterms:modified xsi:type="dcterms:W3CDTF">2026-05-03T14:25:26.574Z</dcterms:modified>
</cp:coreProperties>
</file>

<file path=docProps/custom.xml><?xml version="1.0" encoding="utf-8"?>
<Properties xmlns="http://schemas.openxmlformats.org/officeDocument/2006/custom-properties" xmlns:vt="http://schemas.openxmlformats.org/officeDocument/2006/docPropsVTypes"/>
</file>