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TANF (Temporary Assistance for Needy Families) AND</w:t>
      </w:r>
    </w:p>
    <w:p>
      <w:pPr>
        <w:spacing w:after="200"/>
        <w:jc w:val="center"/>
      </w:pPr>
      <w:r>
        <w:rPr>
          <w:rFonts w:ascii="Arial" w:cs="Arial" w:eastAsia="Arial" w:hAnsi="Arial"/>
          <w:b/>
          <w:bCs/>
          <w:color w:val="1F4E78"/>
          <w:sz w:val="46"/>
          <w:szCs w:val="46"/>
        </w:rPr>
        <w:t>CASH ASSISTANCE</w:t>
      </w:r>
    </w:p>
    <w:p>
      <w:pPr>
        <w:spacing w:after="200"/>
        <w:jc w:val="center"/>
      </w:pPr>
      <w:r>
        <w:rPr>
          <w:rFonts w:ascii="Arial" w:cs="Arial" w:eastAsia="Arial" w:hAnsi="Arial"/>
          <w:i/>
          <w:iCs/>
          <w:color w:val="C00000"/>
          <w:sz w:val="28"/>
          <w:szCs w:val="28"/>
        </w:rPr>
        <w:t>How the Platform Reshapes the Federal Cash-Welfare Architecture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universal childcare change the economics of TANF?</w:t>
      </w:r>
    </w:p>
    <w:p>
      <w:pPr>
        <w:spacing w:after="200"/>
        <w:jc w:val="center"/>
      </w:pPr>
      <w:r>
        <w:rPr>
          <w:rFonts w:ascii="Georgia" w:cs="Georgia" w:eastAsia="Georgia" w:hAnsi="Georgia"/>
          <w:i/>
          <w:iCs/>
          <w:color w:val="1A1A1A"/>
          <w:sz w:val="24"/>
          <w:szCs w:val="24"/>
        </w:rPr>
        <w:t>Should TANF be restructured under the platform?</w:t>
      </w:r>
    </w:p>
    <w:p>
      <w:pPr>
        <w:spacing w:after="1200"/>
        <w:jc w:val="center"/>
      </w:pPr>
      <w:r>
        <w:rPr>
          <w:rFonts w:ascii="Georgia" w:cs="Georgia" w:eastAsia="Georgia" w:hAnsi="Georgia"/>
          <w:i/>
          <w:iCs/>
          <w:color w:val="1A1A1A"/>
          <w:sz w:val="24"/>
          <w:szCs w:val="24"/>
        </w:rPr>
        <w:t>What is the platform's broader anti-poverty architecture relative to TANF?</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v2.17</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pStyle w:val="Normal"/>
        <w:spacing w:after="240" w:before="480"/>
      </w:pPr>
      <w:r>
        <w:rPr>
          <w:rFonts w:ascii="Arial" w:cs="Arial" w:eastAsia="Arial" w:hAnsi="Arial"/>
          <w:b/>
          <w:bCs/>
          <w:color w:val="1F4E78"/>
          <w:sz w:val="36"/>
          <w:szCs w:val="36"/>
        </w:rPr>
        <w:t>Temporary Assistance for Needy Families (TANF) is the federal cash welfare program serving approximately 1 million low-income families with children. TANF was created in 1996 as a replacement for Aid to Families with Dependent Children (AFDC), implementing work requirements, time limits, and state administrative flexibility through a block grant structure. The program has shrunk dramatically since its creation: AFDC served approximately 5 million families at its 1994 peak; TANF served approximately 1 million in recent years despite poverty levels that have not fallen proportionally. The federal block grant has remained at $16.5 billion since 1996, losing approximately 50 percent of its real value to inflation over thirty years.</w:t>
      </w:r>
    </w:p>
    <w:p>
      <w:pPr>
        <w:spacing w:after="240" w:line="340"/>
        <w:jc w:val="both"/>
      </w:pPr>
      <w:r>
        <w:rPr>
          <w:rFonts w:ascii="Georgia" w:cs="Georgia" w:eastAsia="Georgia" w:hAnsi="Georgia"/>
          <w:color w:val="1A1A1A"/>
          <w:sz w:val="24"/>
          <w:szCs w:val="24"/>
        </w:rPr>
        <w:t>TANF's design choices create distinctive interaction with the platform's universal commitments. The work requirement structure assumed that recipients should be supported in transitioning to employment; the platform's universal childcare and universal healthcare dramatically reduce the cost of working for low-income parents, making the work requirement substantially more achievable than under current conditions. Universal mental health access addresses one of the most documented barriers to employment for TANF recipients. The Refundable Transition Bridge Credit and the wage floor exemption operate as supplemental income support that does not depend on the bureaucratic structure of TANF.</w:t>
      </w:r>
    </w:p>
    <w:p>
      <w:pPr>
        <w:pStyle w:val="Normal"/>
        <w:spacing w:after="240" w:before="480"/>
      </w:pPr>
      <w:r>
        <w:rPr>
          <w:rFonts w:ascii="Arial" w:cs="Arial" w:eastAsia="Arial" w:hAnsi="Arial"/>
          <w:b/>
          <w:bCs/>
          <w:color w:val="1F4E78"/>
          <w:sz w:val="36"/>
          <w:szCs w:val="36"/>
        </w:rPr>
        <w:t>These changes reshape TANF's economic logic in fundamental ways. Under the platform, the question becomes whether TANF should be substantially restructured (or replaced) given that the platform's universal architecture provides the work supports TANF was designed to provide, or whether TANF should continue as a cash-welfare-of-last-resort for families whose situations are not adequately addressed by universal services. This document maps the platform against TANF's current structure, examines the major restructuring options, and identifies the trade-offs each option produces.</w:t>
      </w:r>
    </w:p>
    <w:p>
      <w:pPr>
        <w:pStyle w:val="Heading1"/>
        <w:spacing w:after="240" w:line="340"/>
        <w:jc w:val="both"/>
      </w:pPr>
      <w:r>
        <w:rPr>
          <w:rFonts w:ascii="Georgia" w:cs="Georgia" w:eastAsia="Georgia" w:hAnsi="Georgia"/>
          <w:color w:val="1A1A1A"/>
          <w:sz w:val="24"/>
          <w:szCs w:val="24"/>
        </w:rPr>
        <w:t>How TANF Currently Works</w:t>
      </w:r>
    </w:p>
    <w:p>
      <w:pPr>
        <w:spacing w:after="240" w:line="340"/>
        <w:jc w:val="both"/>
      </w:pPr>
      <w:r>
        <w:rPr>
          <w:rFonts w:ascii="Georgia" w:cs="Georgia" w:eastAsia="Georgia" w:hAnsi="Georgia"/>
          <w:color w:val="1A1A1A"/>
          <w:sz w:val="24"/>
          <w:szCs w:val="24"/>
        </w:rPr>
        <w:t>TANF is administered through state-level block grants. The federal government provides each state a fixed block grant amount based on 1995 federal AFDC and related expenditures; the formula has not been updated since. States must contribute their own maintenance-of-effort funding (set at 75 to 80 percent of historic state contributions). States have substantial flexibility in how to use these funds: cash assistance to families is one allowable use among many, including work supports, childcare, foster care, pregnancy prevention, and various other purposes.</w:t>
      </w:r>
    </w:p>
    <w:p>
      <w:pPr>
        <w:pStyle w:val="Normal"/>
        <w:spacing w:after="240" w:before="480"/>
      </w:pPr>
      <w:r>
        <w:rPr>
          <w:rFonts w:ascii="Arial" w:cs="Arial" w:eastAsia="Arial" w:hAnsi="Arial"/>
          <w:b/>
          <w:bCs/>
          <w:color w:val="1F4E78"/>
          <w:sz w:val="36"/>
          <w:szCs w:val="36"/>
        </w:rPr>
        <w:t>States have used their flexibility to direct TANF funds away from cash assistance over time. In 1997, approximately 70 percent of TANF funds went to direct cash benefits; by recent years, this fraction has dropped to approximately 22 percent in the average state, with substantial variation. Some states (including Texas, Louisiana, and several others) direct less than 10 percent of TANF funds to cash assistance. States have used TANF for purposes ranging from college tuition assistance to anti-abortion crisis pregnancy centers to general state budget gap-filling. This diversion of funds is legal under TANF's flexibility provisions but is a substantial departure from the program's original intent.</w:t>
      </w:r>
    </w:p>
    <w:p>
      <w:pPr>
        <w:spacing w:after="240" w:line="340"/>
        <w:jc w:val="both"/>
      </w:pPr>
      <w:r>
        <w:rPr>
          <w:rFonts w:ascii="Georgia" w:cs="Georgia" w:eastAsia="Georgia" w:hAnsi="Georgia"/>
          <w:color w:val="1A1A1A"/>
          <w:sz w:val="24"/>
          <w:szCs w:val="24"/>
        </w:rPr>
        <w:t>TANF cash recipients face work requirements (generally 20-30 hours per week of work or qualifying activity), time limits (federal 60-month lifetime limit on receipt with state options to set shorter limits), and sanctions (benefit reductions or terminations for non-compliance with program rules). Maximum cash benefit levels vary dramatically across states: Mississippi pays approximately $260 per month for a family of three; California pays approximately $1,100 per month for the same family. Many states have not raised maximum benefits in years or decades, allowing inflation to erode their value substantially.</w:t>
      </w:r>
    </w:p>
    <w:p>
      <w:pPr>
        <w:spacing w:after="240" w:line="340"/>
        <w:jc w:val="both"/>
      </w:pPr>
      <w:r>
        <w:rPr>
          <w:rFonts w:ascii="Georgia" w:cs="Georgia" w:eastAsia="Georgia" w:hAnsi="Georgia"/>
          <w:color w:val="1A1A1A"/>
          <w:sz w:val="24"/>
          <w:szCs w:val="24"/>
        </w:rPr>
        <w:t>TANF caseload reduction is partially explained by improved economic conditions and expanded EITC and Child Tax Credit, but research consistently finds that program design choices (sanctions, time limits, administrative friction) have suppressed caseload below what economic conditions alone would predict. Approximately 70 percent of TANF-eligible families do not receive benefits; the program has retreated from its function as a general cash safety net even for families with deep need.</w:t>
      </w:r>
    </w:p>
    <w:p>
      <w:pPr>
        <w:pStyle w:val="Heading1"/>
        <w:spacing w:after="240" w:line="340"/>
        <w:jc w:val="both"/>
      </w:pPr>
      <w:r>
        <w:rPr>
          <w:rFonts w:ascii="Georgia" w:cs="Georgia" w:eastAsia="Georgia" w:hAnsi="Georgia"/>
          <w:color w:val="1A1A1A"/>
          <w:sz w:val="24"/>
          <w:szCs w:val="24"/>
        </w:rPr>
        <w:t>Universal Childcare's Effect on TANF</w:t>
      </w:r>
    </w:p>
    <w:p>
      <w:pPr>
        <w:spacing w:after="240" w:line="340"/>
        <w:jc w:val="both"/>
      </w:pPr>
      <w:r>
        <w:rPr>
          <w:rFonts w:ascii="Georgia" w:cs="Georgia" w:eastAsia="Georgia" w:hAnsi="Georgia"/>
          <w:color w:val="1A1A1A"/>
          <w:sz w:val="24"/>
          <w:szCs w:val="24"/>
        </w:rPr>
        <w:t>Universal childcare dramatically changes the economic calculation that TANF's work requirements assume. Under current conditions, a low-income single parent considering whether to comply with TANF work requirements faces childcare costs that often exceed their potential earnings. A single parent earning $12 per hour for 30 hours per week earns approximately $18,720 per year; childcare for two young children at typical commercial rates approaches or exceeds this amount. TANF work supports include childcare assistance funded through the federal Child Care and Development Block Grant, but funding is inadequate to cover all eligible families and many TANF recipients receive no childcare assistance despite formal eligibility.</w:t>
      </w:r>
    </w:p>
    <w:p>
      <w:pPr>
        <w:pStyle w:val="Normal"/>
        <w:spacing w:after="240" w:before="480"/>
      </w:pPr>
      <w:r>
        <w:rPr>
          <w:rFonts w:ascii="Arial" w:cs="Arial" w:eastAsia="Arial" w:hAnsi="Arial"/>
          <w:b/>
          <w:bCs/>
          <w:color w:val="1F4E78"/>
          <w:sz w:val="36"/>
          <w:szCs w:val="36"/>
        </w:rPr>
        <w:t>Under the platform's universal childcare commitment, this calculation changes fundamentally. The same single parent's childcare cost drops from approximately $13,710 per child per year to approximately $2,500 per child per year. For two young children, this is a $22,420 reduction in annual childcare expense. The single parent earning $18,720 now has childcare costs of approximately $5,000 rather than $27,420; work becomes economically viable in a way it was not before. The TANF work requirement, in this revised economic context, is substantially more achievable.</w:t>
      </w:r>
    </w:p>
    <w:p>
      <w:pPr>
        <w:spacing w:after="240" w:line="340"/>
        <w:jc w:val="both"/>
      </w:pPr>
      <w:r>
        <w:rPr>
          <w:rFonts w:ascii="Georgia" w:cs="Georgia" w:eastAsia="Georgia" w:hAnsi="Georgia"/>
          <w:color w:val="1A1A1A"/>
          <w:sz w:val="24"/>
          <w:szCs w:val="24"/>
        </w:rPr>
        <w:t>This is the platform's most direct positive effect on TANF: universal childcare addresses the central economic problem that TANF's work requirements assumed could be solved through inadequate work supports. Where TANF tried to make work pay through partial childcare subsidy and Earned Income Tax Credit, the platform makes work pay through near-elimination of childcare costs combined with the wage floor exemption's tax reduction and the Bridge Credit's transition support. The platform delivers what TANF promised.</w:t>
      </w:r>
    </w:p>
    <w:p>
      <w:pPr>
        <w:spacing w:after="240" w:line="340"/>
        <w:jc w:val="both"/>
      </w:pPr>
      <w:r>
        <w:rPr>
          <w:rFonts w:ascii="Georgia" w:cs="Georgia" w:eastAsia="Georgia" w:hAnsi="Georgia"/>
          <w:color w:val="1A1A1A"/>
          <w:sz w:val="24"/>
          <w:szCs w:val="24"/>
        </w:rPr>
        <w:t>The implication is that TANF's bureaucratic structure (work verification, sanctions, time limits) becomes less necessary for the work-incentive function. Universal childcare and universal healthcare make work economically viable for low-income parents without requiring the program-specific work supports TANF struggled to deliver. TANF's distinctive function under the platform is therefore not work support but cash assistance for families whose situations are not addressed by universal services or by the labor market.</w:t>
      </w:r>
    </w:p>
    <w:p>
      <w:pPr>
        <w:pStyle w:val="Heading1"/>
        <w:spacing w:after="240" w:line="340"/>
        <w:jc w:val="both"/>
      </w:pPr>
      <w:r>
        <w:rPr>
          <w:rFonts w:ascii="Georgia" w:cs="Georgia" w:eastAsia="Georgia" w:hAnsi="Georgia"/>
          <w:color w:val="1A1A1A"/>
          <w:sz w:val="24"/>
          <w:szCs w:val="24"/>
        </w:rPr>
        <w:t>Universal Healthcare's Effect on TANF</w:t>
      </w:r>
    </w:p>
    <w:p>
      <w:pPr>
        <w:pStyle w:val="Normal"/>
        <w:spacing w:after="240" w:before="480"/>
      </w:pPr>
      <w:r>
        <w:rPr>
          <w:rFonts w:ascii="Arial" w:cs="Arial" w:eastAsia="Arial" w:hAnsi="Arial"/>
          <w:b/>
          <w:bCs/>
          <w:color w:val="1F4E78"/>
          <w:sz w:val="36"/>
          <w:szCs w:val="36"/>
        </w:rPr>
        <w:t>Universal healthcare similarly addresses one of the major barriers to employment for TANF recipients. Under current conditions, low-income workers often face employer-sponsored health insurance that they cannot afford or that is unavailable; alternative coverage through Medicaid is conditioned on income levels that are exceeded as work hours increase, creating benefit cliffs that discourage additional work. TANF recipients' transition to work often involves loss of Medicaid coverage and insufficient access to alternative coverage.</w:t>
      </w:r>
    </w:p>
    <w:p>
      <w:pPr>
        <w:spacing w:after="240" w:line="340"/>
        <w:jc w:val="both"/>
      </w:pPr>
      <w:r>
        <w:rPr>
          <w:rFonts w:ascii="Georgia" w:cs="Georgia" w:eastAsia="Georgia" w:hAnsi="Georgia"/>
          <w:color w:val="1A1A1A"/>
          <w:sz w:val="24"/>
          <w:szCs w:val="24"/>
        </w:rPr>
        <w:t>Universal healthcare eliminates this dynamic. Working families have universal coverage regardless of income or employment status; TANF recipients transitioning to employment do not face Medicaid loss as a consequence. This is a substantial improvement in the TANF-to-work transition that TANF's existing structure tried to address through transitional Medicaid (a temporary continuation of Medicaid for some workers leaving TANF) but which was always inadequate to fully solve the cliff problem.</w:t>
      </w:r>
    </w:p>
    <w:p>
      <w:pPr>
        <w:spacing w:after="240" w:line="340"/>
        <w:jc w:val="both"/>
      </w:pPr>
      <w:r>
        <w:rPr>
          <w:rFonts w:ascii="Georgia" w:cs="Georgia" w:eastAsia="Georgia" w:hAnsi="Georgia"/>
          <w:color w:val="1A1A1A"/>
          <w:sz w:val="24"/>
          <w:szCs w:val="24"/>
        </w:rPr>
        <w:t>Universal mental health access provides additional support. Mental health and substance use issues are documented at higher rates among TANF recipients than in the general population; current Medicaid mental health coverage is limited and uneven. Universal mental health access provides ongoing care without the means-testing and program-conditioned access that current TANF recipients face.</w:t>
      </w:r>
    </w:p>
    <w:p>
      <w:pPr>
        <w:pStyle w:val="Heading1"/>
        <w:spacing w:after="240" w:before="480"/>
      </w:pPr>
      <w:r>
        <w:rPr>
          <w:rFonts w:ascii="Arial" w:cs="Arial" w:eastAsia="Arial" w:hAnsi="Arial"/>
          <w:b/>
          <w:bCs/>
          <w:color w:val="1F4E78"/>
          <w:sz w:val="36"/>
          <w:szCs w:val="36"/>
        </w:rPr>
        <w:t>Should TANF Be Restructured?</w:t>
      </w:r>
    </w:p>
    <w:p>
      <w:pPr>
        <w:spacing w:after="240" w:line="340"/>
        <w:jc w:val="both"/>
      </w:pPr>
      <w:r>
        <w:rPr>
          <w:rFonts w:ascii="Georgia" w:cs="Georgia" w:eastAsia="Georgia" w:hAnsi="Georgia"/>
          <w:color w:val="1A1A1A"/>
          <w:sz w:val="24"/>
          <w:szCs w:val="24"/>
        </w:rPr>
        <w:t>Given the platform's reshaping of TANF's economic logic, three approaches to TANF restructuring warrant consideration.</w:t>
      </w:r>
    </w:p>
    <w:p>
      <w:pPr>
        <w:pStyle w:val="Heading2"/>
        <w:spacing w:after="240" w:line="340"/>
        <w:jc w:val="both"/>
      </w:pPr>
      <w:r>
        <w:rPr>
          <w:rFonts w:ascii="Georgia" w:cs="Georgia" w:eastAsia="Georgia" w:hAnsi="Georgia"/>
          <w:color w:val="1A1A1A"/>
          <w:sz w:val="24"/>
          <w:szCs w:val="24"/>
        </w:rPr>
        <w:t>Approach A: TANF Continues Substantially Unchanged</w:t>
      </w:r>
    </w:p>
    <w:p>
      <w:pPr>
        <w:pStyle w:val="Normal"/>
        <w:spacing w:after="240" w:before="480"/>
      </w:pPr>
      <w:r>
        <w:rPr>
          <w:rFonts w:ascii="Arial" w:cs="Arial" w:eastAsia="Arial" w:hAnsi="Arial"/>
          <w:b/>
          <w:bCs/>
          <w:color w:val="1F4E78"/>
          <w:sz w:val="36"/>
          <w:szCs w:val="36"/>
        </w:rPr>
        <w:t>Under this approach, the platform leaves TANF largely intact. The block grant continues at $16.5 billion (or possibly indexed for inflation prospectively); state administration continues; work requirements and time limits continue; the platform's universal services reach TANF recipients like all other households but do not directly substitute for TANF cash assistance.</w:t>
      </w:r>
    </w:p>
    <w:p>
      <w:pPr>
        <w:spacing w:after="240" w:line="340"/>
        <w:jc w:val="both"/>
      </w:pPr>
      <w:r>
        <w:rPr>
          <w:rFonts w:ascii="Georgia" w:cs="Georgia" w:eastAsia="Georgia" w:hAnsi="Georgia"/>
          <w:color w:val="1A1A1A"/>
          <w:sz w:val="24"/>
          <w:szCs w:val="24"/>
        </w:rPr>
        <w:t>This approach is the path of least political resistance. It avoids the substantial political opposition that would accompany TANF restructuring, particularly from states that have come to depend on TANF funds for general budget purposes. It preserves the existing federalism structure and respects state autonomy over cash welfare administration. It does not require changes to existing TANF caseload mechanics or sanctions architecture.</w:t>
      </w:r>
    </w:p>
    <w:p>
      <w:pPr>
        <w:pStyle w:val="Normal"/>
        <w:spacing w:after="160" w:before="360"/>
      </w:pPr>
      <w:r>
        <w:rPr>
          <w:rFonts w:ascii="Arial" w:cs="Arial" w:eastAsia="Arial" w:hAnsi="Arial"/>
          <w:b/>
          <w:bCs/>
          <w:color w:val="1F4E78"/>
          <w:sz w:val="28"/>
          <w:szCs w:val="28"/>
        </w:rPr>
        <w:t>The cost of this approach is that TANF continues to operate poorly. The work requirements assume a labor market dynamic that no longer applies under the platform; the time limits assume cash assistance is a bridge to self-sufficiency that the platform now provides through other channels; the sanctions architecture continues to suppress caseload below need-based levels. TANF would become an underfunded, poorly-designed remnant program operating alongside the platform's more effective universal architecture.</w:t>
      </w:r>
    </w:p>
    <w:p>
      <w:pPr>
        <w:pStyle w:val="Heading2"/>
        <w:spacing w:after="240" w:line="340"/>
        <w:jc w:val="both"/>
      </w:pPr>
      <w:r>
        <w:rPr>
          <w:rFonts w:ascii="Georgia" w:cs="Georgia" w:eastAsia="Georgia" w:hAnsi="Georgia"/>
          <w:color w:val="1A1A1A"/>
          <w:sz w:val="24"/>
          <w:szCs w:val="24"/>
        </w:rPr>
        <w:t>Approach B: TANF Is Substantially Restructured</w:t>
      </w:r>
    </w:p>
    <w:p>
      <w:pPr>
        <w:spacing w:after="240" w:line="340"/>
        <w:jc w:val="both"/>
      </w:pPr>
      <w:r>
        <w:rPr>
          <w:rFonts w:ascii="Georgia" w:cs="Georgia" w:eastAsia="Georgia" w:hAnsi="Georgia"/>
          <w:color w:val="1A1A1A"/>
          <w:sz w:val="24"/>
          <w:szCs w:val="24"/>
        </w:rPr>
        <w:t>Under this approach, the platform restructures TANF to focus specifically on cash assistance for families whose situations are not addressed by universal services or labor market participation. Work requirements are eliminated (since universal services make work economically viable for those who can work, and remaining cash assistance recipients are those who cannot). Time limits are eliminated or substantially extended. Sanctions are reformed. State block grant flexibility is constrained to ensure funds reach intended cash assistance recipients. The federal block grant is increased and indexed for inflation.</w:t>
      </w:r>
    </w:p>
    <w:p>
      <w:pPr>
        <w:pStyle w:val="Normal"/>
        <w:spacing w:after="160" w:before="360"/>
      </w:pPr>
      <w:r>
        <w:rPr>
          <w:rFonts w:ascii="Arial" w:cs="Arial" w:eastAsia="Arial" w:hAnsi="Arial"/>
          <w:b/>
          <w:bCs/>
          <w:color w:val="1F4E78"/>
          <w:sz w:val="28"/>
          <w:szCs w:val="28"/>
        </w:rPr>
        <w:t>This approach makes TANF coherent with the platform's broader architecture: TANF becomes the residual program serving families whose situations require cash support beyond what universal services and labor market participation provide. Disabled parents not covered by SSI; families fleeing domestic violence; families dealing with severe mental illness or addiction; families with children who have specific needs requiring full-time parental care; these are the populations TANF would serve under restructured rules. The program's caseload would likely grow under this approach (perhaps to 2-3 million families) but the per-family benefit level could rise substantially given the focused population.</w:t>
      </w:r>
    </w:p>
    <w:p>
      <w:pPr>
        <w:spacing w:after="240" w:line="340"/>
        <w:jc w:val="both"/>
      </w:pPr>
      <w:r>
        <w:rPr>
          <w:rFonts w:ascii="Georgia" w:cs="Georgia" w:eastAsia="Georgia" w:hAnsi="Georgia"/>
          <w:color w:val="1A1A1A"/>
          <w:sz w:val="24"/>
          <w:szCs w:val="24"/>
        </w:rPr>
        <w:t>The political cost of this approach is substantial. State governments that have come to depend on TANF flexibility for general budget purposes would resist constraining flexibility. States that have used TANF for purposes other than cash assistance would oppose redirecting funds to that purpose. The work requirement reform is politically charged and would face opposition from constituencies committed to work requirements regardless of underlying economic conditions. This approach requires substantial political capital.</w:t>
      </w:r>
    </w:p>
    <w:p>
      <w:pPr>
        <w:pStyle w:val="Heading2"/>
        <w:spacing w:after="160" w:before="360"/>
      </w:pPr>
      <w:r>
        <w:rPr>
          <w:rFonts w:ascii="Arial" w:cs="Arial" w:eastAsia="Arial" w:hAnsi="Arial"/>
          <w:b/>
          <w:bCs/>
          <w:color w:val="1F4E78"/>
          <w:sz w:val="28"/>
          <w:szCs w:val="28"/>
        </w:rPr>
        <w:t>Approach C: TANF Is Replaced by a Refundable Family Assistance Credit</w:t>
      </w:r>
    </w:p>
    <w:p>
      <w:pPr>
        <w:spacing w:after="240" w:line="340"/>
        <w:jc w:val="both"/>
      </w:pPr>
      <w:r>
        <w:rPr>
          <w:rFonts w:ascii="Georgia" w:cs="Georgia" w:eastAsia="Georgia" w:hAnsi="Georgia"/>
          <w:color w:val="1A1A1A"/>
          <w:sz w:val="24"/>
          <w:szCs w:val="24"/>
        </w:rPr>
        <w:t>Under this approach, TANF is replaced by a federal refundable tax credit (or direct distribution) for low-income families with children. The credit is administered through the federal tax system rather than through state administrative agencies, eliminating most of the administrative friction and state variation in current TANF. Eligibility is determined by income and family composition rather than by program-specific application, work verification, or sanctions. The credit is refundable so families with no tax liability receive the full amount.</w:t>
      </w:r>
    </w:p>
    <w:p>
      <w:pPr>
        <w:pStyle w:val="Normal"/>
        <w:spacing w:after="240" w:before="480"/>
      </w:pPr>
      <w:r>
        <w:rPr>
          <w:rFonts w:ascii="Arial" w:cs="Arial" w:eastAsia="Arial" w:hAnsi="Arial"/>
          <w:b/>
          <w:bCs/>
          <w:color w:val="1F4E78"/>
          <w:sz w:val="36"/>
          <w:szCs w:val="36"/>
        </w:rPr>
        <w:t>This approach treats TANF more as a tax-credit program (analogous to EITC) than as a state-administered welfare program. It eliminates the diversion problem (federal funds go to intended recipients rather than being absorbed into state budgets); it eliminates most administrative friction (Direct File handles eligibility determination); it provides predictable cash support without work requirement bureaucracy; it operates seamlessly alongside the platform's other refundable mechanisms (Bridge Credit, EITC, Child Tax Credit).</w:t>
      </w:r>
    </w:p>
    <w:p>
      <w:pPr>
        <w:spacing w:after="240" w:line="340"/>
        <w:jc w:val="both"/>
      </w:pPr>
      <w:r>
        <w:rPr>
          <w:rFonts w:ascii="Georgia" w:cs="Georgia" w:eastAsia="Georgia" w:hAnsi="Georgia"/>
          <w:color w:val="1A1A1A"/>
          <w:sz w:val="24"/>
          <w:szCs w:val="24"/>
        </w:rPr>
        <w:t>The architecture is similar to several recent policy proposals (the expanded Child Tax Credit during 2021, the Family Security Act proposals, the Niskanen Center's Children's Allowance proposals). Many of these proposals have substantial bipartisan interest. The platform's broader fiscal architecture (Sovereign Fund disbursement capacity) could fund a more generous version than has historically been politically achievable.</w:t>
      </w:r>
    </w:p>
    <w:p>
      <w:pPr>
        <w:spacing w:after="240" w:line="340"/>
        <w:jc w:val="both"/>
      </w:pPr>
      <w:r>
        <w:rPr>
          <w:rFonts w:ascii="Georgia" w:cs="Georgia" w:eastAsia="Georgia" w:hAnsi="Georgia"/>
          <w:color w:val="1A1A1A"/>
          <w:sz w:val="24"/>
          <w:szCs w:val="24"/>
        </w:rPr>
        <w:t>The trade-off is that this approach requires affirmative federal action to replace TANF rather than incremental TANF reform. It requires repealing PRWORA's TANF block grant structure and replacing it with new federal architecture. It requires Congress to act on cash assistance specifically rather than addressing it as part of comprehensive social policy reform. And it requires confronting ideological opposition to cash assistance without work requirements.</w:t>
      </w:r>
    </w:p>
    <w:p>
      <w:pPr>
        <w:pStyle w:val="Heading1"/>
        <w:spacing w:after="240" w:line="340"/>
        <w:jc w:val="both"/>
      </w:pPr>
      <w:r>
        <w:rPr>
          <w:rFonts w:ascii="Georgia" w:cs="Georgia" w:eastAsia="Georgia" w:hAnsi="Georgia"/>
          <w:color w:val="1A1A1A"/>
          <w:sz w:val="24"/>
          <w:szCs w:val="24"/>
        </w:rPr>
        <w:t>The Platform's Broader Anti-Poverty Architecture</w:t>
      </w:r>
    </w:p>
    <w:p>
      <w:pPr>
        <w:pStyle w:val="Normal"/>
        <w:spacing w:after="240" w:before="480"/>
      </w:pPr>
      <w:r>
        <w:rPr>
          <w:rFonts w:ascii="Arial" w:cs="Arial" w:eastAsia="Arial" w:hAnsi="Arial"/>
          <w:b/>
          <w:bCs/>
          <w:color w:val="1F4E78"/>
          <w:sz w:val="36"/>
          <w:szCs w:val="36"/>
        </w:rPr>
        <w:t>The platform's anti-poverty architecture includes the wage floor exemption (eliminating federal income tax for low-income workers), the Refundable Transition Bridge Credit (ensuring no household is made worse off during transition), the Founding Stake (a small universal distribution), universal healthcare (eliminating premium and out-of-pocket medical costs), universal childcare (eliminating childcare costs), Universal Mental Health access (eliminating private mental health costs), and continuing federal benefits (Medicaid, SNAP (Supplemental Nutrition Assistance Program), EITC, CTC) that the platform does not modify.</w:t>
      </w:r>
    </w:p>
    <w:p>
      <w:pPr>
        <w:spacing w:after="240" w:line="340"/>
        <w:jc w:val="both"/>
      </w:pPr>
      <w:r>
        <w:rPr>
          <w:rFonts w:ascii="Georgia" w:cs="Georgia" w:eastAsia="Georgia" w:hAnsi="Georgia"/>
          <w:color w:val="1A1A1A"/>
          <w:sz w:val="24"/>
          <w:szCs w:val="24"/>
        </w:rPr>
        <w:t>Together, these commitments substantially reduce the household-level cost of poverty. A working low-income family with two young children currently faces approximately $30,000 per year in costs the platform addresses (childcare, healthcare, broadband, identity infrastructure) plus federal income tax burden the wage floor reduces. Under the platform, these costs drop to approximately $5,000 to $7,000 per year (residual childcare contribution, residual healthcare contribution, residual broadband if not in covered area). The household's effective income rises by $20,000 to $25,000 without changing wages.</w:t>
      </w:r>
    </w:p>
    <w:p>
      <w:pPr>
        <w:spacing w:after="240" w:line="340"/>
        <w:jc w:val="both"/>
      </w:pPr>
      <w:r>
        <w:rPr>
          <w:rFonts w:ascii="Georgia" w:cs="Georgia" w:eastAsia="Georgia" w:hAnsi="Georgia"/>
          <w:color w:val="1A1A1A"/>
          <w:sz w:val="24"/>
          <w:szCs w:val="24"/>
        </w:rPr>
        <w:t>TANF's role in this broader architecture depends on the design choice. Under Approach A, TANF continues as an underfunded supplement to the platform's broader architecture. Under Approach B, TANF becomes a focused last-resort cash program. Under Approach C, TANF is replaced by a refundable family assistance credit operating alongside the wage floor and Bridge Credit. Each approach has merit; the platform's choice depends on the political environment, the capacity for federal action on cash assistance specifically, and the priorities of platform proponents.</w:t>
      </w:r>
    </w:p>
    <w:p>
      <w:pPr>
        <w:pStyle w:val="Normal"/>
        <w:spacing w:after="240" w:before="480"/>
      </w:pPr>
      <w:r>
        <w:rPr>
          <w:rFonts w:ascii="Arial" w:cs="Arial" w:eastAsia="Arial" w:hAnsi="Arial"/>
          <w:b/>
          <w:bCs/>
          <w:color w:val="1F4E78"/>
          <w:sz w:val="36"/>
          <w:szCs w:val="36"/>
        </w:rPr>
        <w:t>The platform should not pretend that the choice is unimportant. TANF's current operation produces substantial inequity (eligible families denied benefits, benefits eroded by inflation, funds diverted from cash assistance) that the platform's universal architecture does not address. If the platform commits to ending poverty as a substantive goal (rather than reducing it), TANF restructuring is necessary; the platform's current commitments alone are not sufficient for families whose situations require cash support.</w:t>
      </w:r>
    </w:p>
    <w:p>
      <w:pPr>
        <w:pStyle w:val="Heading1"/>
        <w:spacing w:after="160" w:before="360"/>
      </w:pPr>
      <w:r>
        <w:rPr>
          <w:rFonts w:ascii="Arial" w:cs="Arial" w:eastAsia="Arial" w:hAnsi="Arial"/>
          <w:b/>
          <w:bCs/>
          <w:color w:val="1F4E78"/>
          <w:sz w:val="28"/>
          <w:szCs w:val="28"/>
        </w:rPr>
        <w:t>Failure Modes</w:t>
      </w:r>
    </w:p>
    <w:p>
      <w:pPr>
        <w:pStyle w:val="Heading2"/>
        <w:spacing w:after="240" w:line="340"/>
        <w:jc w:val="both"/>
      </w:pPr>
      <w:r>
        <w:rPr>
          <w:rFonts w:ascii="Georgia" w:cs="Georgia" w:eastAsia="Georgia" w:hAnsi="Georgia"/>
          <w:color w:val="1A1A1A"/>
          <w:sz w:val="24"/>
          <w:szCs w:val="24"/>
        </w:rPr>
        <w:t>The Status Quo Drift Failure Mode</w:t>
      </w:r>
    </w:p>
    <w:p>
      <w:pPr>
        <w:pStyle w:val="Normal"/>
        <w:spacing w:after="160" w:before="360"/>
      </w:pPr>
      <w:r>
        <w:rPr>
          <w:rFonts w:ascii="Arial" w:cs="Arial" w:eastAsia="Arial" w:hAnsi="Arial"/>
          <w:b/>
          <w:bCs/>
          <w:color w:val="1F4E78"/>
          <w:sz w:val="28"/>
          <w:szCs w:val="28"/>
        </w:rPr>
        <w:t>If the platform takes Approach A (TANF unchanged), the program's existing dysfunctions continue. Block grant erosion through inflation continues. State diversion of TANF funds continues. Sanctions and time limits continue to suppress caseload below need-based levels. The platform's universal architecture provides substantial benefit to TANF recipients but does not address the program's design problems. This is the most likely outcome of platform deployment without explicit attention to TANF; the failure mode is unintentional drift.</w:t>
      </w:r>
    </w:p>
    <w:p>
      <w:pPr>
        <w:pStyle w:val="Heading2"/>
        <w:spacing w:after="240" w:line="340"/>
        <w:jc w:val="both"/>
      </w:pPr>
      <w:r>
        <w:rPr>
          <w:rFonts w:ascii="Georgia" w:cs="Georgia" w:eastAsia="Georgia" w:hAnsi="Georgia"/>
          <w:color w:val="1A1A1A"/>
          <w:sz w:val="24"/>
          <w:szCs w:val="24"/>
        </w:rPr>
        <w:t>The State Resistance Failure Mode</w:t>
      </w:r>
    </w:p>
    <w:p>
      <w:pPr>
        <w:pStyle w:val="Normal"/>
        <w:spacing w:after="160" w:before="360"/>
      </w:pPr>
      <w:r>
        <w:rPr>
          <w:rFonts w:ascii="Arial" w:cs="Arial" w:eastAsia="Arial" w:hAnsi="Arial"/>
          <w:b/>
          <w:bCs/>
          <w:color w:val="1F4E78"/>
          <w:sz w:val="28"/>
          <w:szCs w:val="28"/>
        </w:rPr>
        <w:t>If the platform takes Approach B (TANF restructured), state governments that depend on TANF flexibility will resist. The political cost of TANF reform exceeds the platform's available capacity for change in cash welfare policy specifically. The federal-state cooperation analysis (v2.14) suggests that 10-20 percent of states will refuse cooperation with platform commitments generally; the percentage refusing TANF reform specifically may be higher because the funds are politically valuable to state administrations regardless of platform stance.</w:t>
      </w:r>
    </w:p>
    <w:p>
      <w:pPr>
        <w:pStyle w:val="Heading2"/>
        <w:spacing w:after="240" w:line="340"/>
        <w:jc w:val="both"/>
      </w:pPr>
      <w:r>
        <w:rPr>
          <w:rFonts w:ascii="Georgia" w:cs="Georgia" w:eastAsia="Georgia" w:hAnsi="Georgia"/>
          <w:color w:val="1A1A1A"/>
          <w:sz w:val="24"/>
          <w:szCs w:val="24"/>
        </w:rPr>
        <w:t>The Work Requirement Symbolic Failure Mode</w:t>
      </w:r>
    </w:p>
    <w:p>
      <w:pPr>
        <w:pStyle w:val="Normal"/>
        <w:spacing w:after="160" w:before="360"/>
      </w:pPr>
      <w:r>
        <w:rPr>
          <w:rFonts w:ascii="Arial" w:cs="Arial" w:eastAsia="Arial" w:hAnsi="Arial"/>
          <w:b/>
          <w:bCs/>
          <w:color w:val="1F4E78"/>
          <w:sz w:val="28"/>
          <w:szCs w:val="28"/>
        </w:rPr>
        <w:t>Work requirements have substantial symbolic political importance beyond their functional role. Conservative political argument has long held that cash assistance should be conditioned on work effort; this position has political force regardless of whether the underlying economic conditions make work feasible. Approaches B and C, by reducing or eliminating work requirements, run into this political headwind. The platform's deployment depends on political capacity that may not be available for this specific reform.</w:t>
      </w:r>
    </w:p>
    <w:p>
      <w:pPr>
        <w:pStyle w:val="Heading2"/>
        <w:spacing w:after="240" w:line="340"/>
        <w:jc w:val="both"/>
      </w:pPr>
      <w:r>
        <w:rPr>
          <w:rFonts w:ascii="Georgia" w:cs="Georgia" w:eastAsia="Georgia" w:hAnsi="Georgia"/>
          <w:color w:val="1A1A1A"/>
          <w:sz w:val="24"/>
          <w:szCs w:val="24"/>
        </w:rPr>
        <w:t>The Cliff and Phase-Out Failure Mode</w:t>
      </w:r>
    </w:p>
    <w:p>
      <w:pPr>
        <w:pStyle w:val="Normal"/>
        <w:spacing w:after="160" w:before="360"/>
      </w:pPr>
      <w:r>
        <w:rPr>
          <w:rFonts w:ascii="Arial" w:cs="Arial" w:eastAsia="Arial" w:hAnsi="Arial"/>
          <w:b/>
          <w:bCs/>
          <w:color w:val="1F4E78"/>
          <w:sz w:val="28"/>
          <w:szCs w:val="28"/>
        </w:rPr>
        <w:t>TANF, EITC, SNAP, and Medicaid have phase-out structures that produce benefit cliffs as income rises. The platform's universal commitments eliminate some cliffs (Medicaid disappears under universal healthcare) but introduce others if not designed carefully. The Bridge Credit phases out as the household's net position improves; if the phase-out is too steep, it produces effective marginal tax rates that discourage additional work. Coordination of the various phase-out mechanics across federal programs requires deliberate design that the current platform documents do not specify in detail.</w:t>
      </w:r>
    </w:p>
    <w:p>
      <w:pPr>
        <w:pStyle w:val="Heading1"/>
        <w:spacing w:after="240" w:line="340"/>
        <w:jc w:val="both"/>
      </w:pPr>
      <w:r>
        <w:rPr>
          <w:rFonts w:ascii="Georgia" w:cs="Georgia" w:eastAsia="Georgia" w:hAnsi="Georgia"/>
          <w:color w:val="1A1A1A"/>
          <w:sz w:val="24"/>
          <w:szCs w:val="24"/>
        </w:rPr>
        <w:t>Open Questions</w:t>
      </w:r>
    </w:p>
    <w:p>
      <w:pPr>
        <w:pStyle w:val="Normal"/>
        <w:spacing w:after="240" w:before="480"/>
      </w:pPr>
      <w:r>
        <w:rPr>
          <w:rFonts w:ascii="Arial" w:cs="Arial" w:eastAsia="Arial" w:hAnsi="Arial"/>
          <w:b/>
          <w:bCs/>
          <w:color w:val="1F4E78"/>
          <w:sz w:val="36"/>
          <w:szCs w:val="36"/>
        </w:rPr>
        <w:t>Which TANF restructuring approach should the platform commit to? Approaches A, B, and C produce materially different outcomes for low-income families with children. The platform's current documents do not commit to any specific approach. The choice has substantial implications for the platform's overall anti-poverty architecture.</w:t>
      </w:r>
    </w:p>
    <w:p>
      <w:pPr>
        <w:spacing w:after="240" w:line="340"/>
        <w:jc w:val="both"/>
      </w:pPr>
      <w:r>
        <w:rPr>
          <w:rFonts w:ascii="Georgia" w:cs="Georgia" w:eastAsia="Georgia" w:hAnsi="Georgia"/>
          <w:color w:val="1A1A1A"/>
          <w:sz w:val="24"/>
          <w:szCs w:val="24"/>
        </w:rPr>
        <w:t>How should TANF block grant funds be redirected if TANF is restructured? Under Approach B or C, the existing $16.5 billion in federal funds plus state maintenance-of-effort funds need to be reassigned. The political and fiscal mechanics of this redirection have not been worked out.</w:t>
      </w:r>
    </w:p>
    <w:p>
      <w:pPr>
        <w:spacing w:after="240" w:line="340"/>
        <w:jc w:val="both"/>
      </w:pPr>
      <w:r>
        <w:rPr>
          <w:rFonts w:ascii="Georgia" w:cs="Georgia" w:eastAsia="Georgia" w:hAnsi="Georgia"/>
          <w:color w:val="1A1A1A"/>
          <w:sz w:val="24"/>
          <w:szCs w:val="24"/>
        </w:rPr>
        <w:t>How should the platform interact with state TANF administration during the transition? Whether the platform has authority to constrain state administrative flexibility, or whether the federal-state cooperation framework leaves administrative choices to states, depends on the specific reform mechanism.</w:t>
      </w:r>
    </w:p>
    <w:p>
      <w:pPr>
        <w:spacing w:after="240" w:line="340"/>
        <w:jc w:val="both"/>
      </w:pPr>
      <w:r>
        <w:rPr>
          <w:rFonts w:ascii="Georgia" w:cs="Georgia" w:eastAsia="Georgia" w:hAnsi="Georgia"/>
          <w:color w:val="1A1A1A"/>
          <w:sz w:val="24"/>
          <w:szCs w:val="24"/>
        </w:rPr>
        <w:t>How does the platform coordinate phase-out structures across programs? Bridge Credit phase-out, EITC phase-out, SNAP phase-out, and various other program phase-outs need explicit coordination to avoid producing high effective marginal tax rates that discourage work.</w:t>
      </w:r>
    </w:p>
    <w:p>
      <w:pPr>
        <w:spacing w:after="240" w:line="340"/>
        <w:jc w:val="both"/>
      </w:pPr>
      <w:r>
        <w:rPr>
          <w:rFonts w:ascii="Georgia" w:cs="Georgia" w:eastAsia="Georgia" w:hAnsi="Georgia"/>
          <w:color w:val="1A1A1A"/>
          <w:sz w:val="24"/>
          <w:szCs w:val="24"/>
        </w:rPr>
        <w:t>What is the platform's commitment on cash benefits to families without earnings? The platform's universal services reach all eligible households regardless of work status, but cash assistance for families without earnings is a distinct question that the platform's current documents leave largely to TANF's existing inadequacy.</w:t>
      </w:r>
    </w:p>
    <w:p>
      <w:pPr>
        <w:spacing w:after="240" w:line="340"/>
        <w:jc w:val="both"/>
      </w:pPr>
      <w:r>
        <w:rPr>
          <w:rFonts w:ascii="Georgia" w:cs="Georgia" w:eastAsia="Georgia" w:hAnsi="Georgia"/>
          <w:color w:val="1A1A1A"/>
          <w:sz w:val="24"/>
          <w:szCs w:val="24"/>
        </w:rPr>
        <w:t>How does the platform interact with state-administered programs like General Assistance that some states operate alongside or instead of TANF for childless adults? General Assistance varies dramatically across states (Pennsylvania, Massachusetts, and several others operate it; many states do not). The platform's federal-state cooperation framework applies but General Assistance specifics have not been mapped.</w:t>
      </w:r>
    </w:p>
    <w:p>
      <w:pPr>
        <w:spacing w:after="240" w:line="340"/>
        <w:jc w:val="both"/>
      </w:pPr>
      <w:r>
        <w:rPr>
          <w:rFonts w:ascii="Georgia" w:cs="Georgia" w:eastAsia="Georgia" w:hAnsi="Georgia"/>
          <w:color w:val="1A1A1A"/>
          <w:sz w:val="24"/>
          <w:szCs w:val="24"/>
        </w:rPr>
        <w:t>Should the platform commit to ending poverty (vs reducing it) as an explicit goal? If yes, TANF restructuring is necessary; the platform's current commitments alone are insufficient. If no, the platform's current architecture suffices for substantial poverty reduction without committing to elimination.</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TANF's current operation is incompatible with the platform's universal architecture in ways that warrant explicit platform attention. The program's work requirements assume economic conditions that the platform's universal childcare and healthcare fundamentally change. The program's time limits assume self-sufficiency through labor market participation that the platform's wage floor and Bridge Credit also support. The program's sanctions architecture suppresses caseload below need-based levels in ways the platform's broader architecture does not directly address.</w:t>
      </w:r>
    </w:p>
    <w:p>
      <w:pPr>
        <w:spacing w:after="240" w:line="340"/>
        <w:jc w:val="both"/>
      </w:pPr>
      <w:r>
        <w:rPr>
          <w:rFonts w:ascii="Georgia" w:cs="Georgia" w:eastAsia="Georgia" w:hAnsi="Georgia"/>
          <w:color w:val="1A1A1A"/>
          <w:sz w:val="24"/>
          <w:szCs w:val="24"/>
        </w:rPr>
        <w:t>The platform should commit to a specific TANF approach rather than leaving the question implicit. Approach A (TANF unchanged) is the path of least resistance but produces drift toward irrelevance. Approach B (TANF restructured) is administratively complex but coherent with the platform's broader design. Approach C (TANF replaced by refundable credit) is the most ambitious and most consistent with the platform's other architectural choices but requires federal action that has historically been difficult to achieve. The choice depends on political capacity available at deployment time.</w:t>
      </w:r>
    </w:p>
    <w:p>
      <w:pPr>
        <w:spacing w:after="240" w:line="340"/>
        <w:jc w:val="both"/>
      </w:pPr>
      <w:r>
        <w:rPr>
          <w:rFonts w:ascii="Georgia" w:cs="Georgia" w:eastAsia="Georgia" w:hAnsi="Georgia"/>
          <w:color w:val="1A1A1A"/>
          <w:sz w:val="24"/>
          <w:szCs w:val="24"/>
        </w:rPr>
        <w:t>The platform's broader anti-poverty effects are substantial regardless of TANF choice: a working low-income family with two children sees household-level cost reduction of $20,000 to $25,000 per year through universal services and tax architecture. This is the platform's most directly meaningful effect on poverty. TANF's specific role within this broader picture is a smaller question, but a real one. The Open Questions section above lists the unresolved choices for transparent acknowledgment.</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