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0"/>
          <w:szCs w:val="50"/>
        </w:rPr>
        <w:t xml:space="preserve">SOVEREIGN FUND</w:t>
      </w:r>
    </w:p>
    <w:p>
      <w:pPr>
        <w:spacing w:after="200"/>
        <w:jc w:val="center"/>
      </w:pPr>
      <w:r>
        <w:rPr>
          <w:rFonts w:ascii="Arial" w:cs="Arial" w:eastAsia="Arial" w:hAnsi="Arial"/>
          <w:b/>
          <w:bCs/>
          <w:color w:val="1F4E78"/>
          <w:sz w:val="50"/>
          <w:szCs w:val="50"/>
        </w:rPr>
        <w:t xml:space="preserve">GOVERNANCE DESIGN</w:t>
      </w:r>
    </w:p>
    <w:p>
      <w:pPr>
        <w:spacing w:after="200"/>
        <w:jc w:val="center"/>
      </w:pPr>
      <w:r>
        <w:rPr>
          <w:rFonts w:ascii="Arial" w:cs="Arial" w:eastAsia="Arial" w:hAnsi="Arial"/>
          <w:i/>
          <w:iCs/>
          <w:color w:val="C00000"/>
          <w:sz w:val="26"/>
          <w:szCs w:val="26"/>
        </w:rPr>
        <w:t xml:space="preserve">A Multi-Layer Architecture for Protecting Public Capital</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How a $122 trillion fund can be governed</w:t>
      </w:r>
    </w:p>
    <w:p>
      <w:pPr>
        <w:spacing w:after="200"/>
        <w:jc w:val="center"/>
      </w:pPr>
      <w:r>
        <w:rPr>
          <w:rFonts w:ascii="Georgia" w:cs="Georgia" w:eastAsia="Georgia" w:hAnsi="Georgia"/>
          <w:i/>
          <w:iCs/>
          <w:color w:val="1A1A1A"/>
          <w:sz w:val="24"/>
          <w:szCs w:val="24"/>
        </w:rPr>
        <w:t xml:space="preserve">to remain durably independent across</w:t>
      </w:r>
    </w:p>
    <w:p>
      <w:pPr>
        <w:spacing w:after="1200"/>
        <w:jc w:val="center"/>
      </w:pPr>
      <w:r>
        <w:rPr>
          <w:rFonts w:ascii="Georgia" w:cs="Georgia" w:eastAsia="Georgia" w:hAnsi="Georgia"/>
          <w:i/>
          <w:iCs/>
          <w:color w:val="1A1A1A"/>
          <w:sz w:val="24"/>
          <w:szCs w:val="24"/>
        </w:rPr>
        <w:t xml:space="preserve">60+ years of American politics.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4, 2026  ·  Updated May 4, 2026  ·  Updated May 6, 2026 for v2.30.29 (RESEARCH-1 platform response framework)</w:t>
      </w:r>
    </w:p>
    <w:p>
      <w:pPr>
        <w:jc w:val="center"/>
      </w:pPr>
      <w:r>
        <w:rPr>
          <w:rFonts w:ascii="Georgia" w:cs="Georgia" w:eastAsia="Georgia" w:hAnsi="Georgia"/>
          <w:color w:val="595959"/>
          <w:sz w:val="20"/>
          <w:szCs w:val="20"/>
        </w:rPr>
        <w:t xml:space="preserve">Ohio  ·  2026</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Norway Government Pension Fund Global annual reports for sovereign-fund management practices and real returns; Federal Reserve and Treasury data for U.S. monetary and fiscal context; Combined Reform Model (04_Combined_Reform_Model.xlsx) for sovereign-fund corpus and disbursement projections.</w:t>
      </w:r>
    </w:p>
    <w:p>
      <w:pPr>
        <w:pStyle w:val="Heading1"/>
        <w:spacing w:after="240" w:before="480"/>
      </w:pPr>
      <w:r>
        <w:rPr>
          <w:rFonts w:ascii="Arial" w:cs="Arial" w:eastAsia="Arial" w:hAnsi="Arial"/>
          <w:b/>
          <w:bCs/>
          <w:color w:val="1F4E78"/>
          <w:sz w:val="36"/>
          <w:szCs w:val="36"/>
        </w:rPr>
        <w:t xml:space="preserve">The Problem This Document Addresses</w:t>
      </w:r>
    </w:p>
    <w:p>
      <w:pPr>
        <w:spacing w:after="240" w:line="340"/>
        <w:jc w:val="both"/>
      </w:pPr>
      <w:r>
        <w:rPr>
          <w:rFonts w:ascii="Georgia" w:cs="Georgia" w:eastAsia="Georgia" w:hAnsi="Georgia"/>
          <w:color w:val="1A1A1A"/>
          <w:sz w:val="24"/>
          <w:szCs w:val="24"/>
        </w:rPr>
        <w:t xml:space="preserve">The Community Contribution Plan's mathematical foundation produces a Sovereign Fund maturing to approximately $122 trillion by Year 60. A fund of that scale would own a substantial percentage of every publicly traded American company and a meaningful percentage of global equity markets. The math works. The governance question is whether the institution can survive sixty years of American politics without being raided, captured, or weaponized.</w:t>
      </w:r>
    </w:p>
    <w:p>
      <w:pPr>
        <w:pStyle w:val="Heading2"/>
        <w:spacing w:after="160" w:before="360"/>
      </w:pPr>
      <w:r>
        <w:rPr>
          <w:rFonts w:ascii="Arial" w:cs="Arial" w:eastAsia="Arial" w:hAnsi="Arial"/>
          <w:b/>
          <w:bCs/>
          <w:color w:val="1F4E78"/>
          <w:sz w:val="28"/>
          <w:szCs w:val="28"/>
        </w:rPr>
        <w:t xml:space="preserve">Why This Question Matters Now</w:t>
      </w:r>
    </w:p>
    <w:p>
      <w:pPr>
        <w:spacing w:after="200" w:line="320"/>
        <w:jc w:val="both"/>
      </w:pPr>
      <w:r>
        <w:rPr>
          <w:rFonts w:ascii="Georgia" w:cs="Georgia" w:eastAsia="Georgia" w:hAnsi="Georgia"/>
          <w:color w:val="1A1A1A"/>
          <w:sz w:val="22"/>
          <w:szCs w:val="22"/>
        </w:rPr>
        <w:t xml:space="preserve">External review of the v1.8 platform package by Gemini (Google's AI assistant) identified Sovereign Fund governance as the platform's hardest political problem. The review correctly observed that pointing to Norway's Government Pension Fund Global as the model is insufficient: Norway's GPFG operates in a small, homogeneous country with strong institutional culture and consensus-oriented politics. The American political system is structurally more polarized, more transactional, and more subject to crisis-driven raids on accumulated capital.</w:t>
      </w:r>
    </w:p>
    <w:p>
      <w:pPr>
        <w:spacing w:after="200" w:line="320"/>
        <w:jc w:val="both"/>
      </w:pPr>
      <w:r>
        <w:rPr>
          <w:rFonts w:ascii="Georgia" w:cs="Georgia" w:eastAsia="Georgia" w:hAnsi="Georgia"/>
          <w:color w:val="1A1A1A"/>
          <w:sz w:val="22"/>
          <w:szCs w:val="22"/>
        </w:rPr>
        <w:t xml:space="preserve">This document responds to that observation by articulating a multi-layer governance architecture. The premise is that no single mechanism can protect a fund of this scale across sixty years of political turnover; only a stack of overlapping protections, each with different failure modes, can produce durable independence. The design draws on what works in Norway's GPFG, what failed in other public funds (Alaska Permanent Fund's persistent political pressure, various state pension fund manipulations, repeated raids on the Social Security Trust Fund), and what governance structures work elsewhere in American institutional design (the Federal Reserve, federal courts, military command structure).</w:t>
      </w:r>
    </w:p>
    <w:p>
      <w:pPr>
        <w:pStyle w:val="Heading2"/>
        <w:spacing w:after="160" w:before="360"/>
      </w:pPr>
      <w:r>
        <w:rPr>
          <w:rFonts w:ascii="Arial" w:cs="Arial" w:eastAsia="Arial" w:hAnsi="Arial"/>
          <w:b/>
          <w:bCs/>
          <w:color w:val="1F4E78"/>
          <w:sz w:val="28"/>
          <w:szCs w:val="28"/>
        </w:rPr>
        <w:t xml:space="preserve">What This Document Is Not</w:t>
      </w:r>
    </w:p>
    <w:p>
      <w:pPr>
        <w:spacing w:after="200" w:line="320"/>
        <w:jc w:val="both"/>
      </w:pPr>
      <w:r>
        <w:rPr>
          <w:rFonts w:ascii="Georgia" w:cs="Georgia" w:eastAsia="Georgia" w:hAnsi="Georgia"/>
          <w:color w:val="1A1A1A"/>
          <w:sz w:val="22"/>
          <w:szCs w:val="22"/>
        </w:rPr>
        <w:t xml:space="preserve">This is not a constitutional amendment, a draft bill, or an operational manual. It is the architectural framework within which detailed legal drafting and political negotiation would occur. The platform's commitment is to articulate the design with enough specificity to be evaluated, criticized, and refined; the actual codification into law would be done by constitutional lawyers, policy specialists, and legislative drafters working from this framework rather than from scratch.</w:t>
      </w:r>
    </w:p>
    <w:p>
      <w:pPr>
        <w:spacing w:after="200" w:line="320"/>
        <w:jc w:val="both"/>
      </w:pPr>
      <w:r>
        <w:rPr>
          <w:rFonts w:ascii="Georgia" w:cs="Georgia" w:eastAsia="Georgia" w:hAnsi="Georgia"/>
          <w:color w:val="1A1A1A"/>
          <w:sz w:val="22"/>
          <w:szCs w:val="22"/>
        </w:rPr>
        <w:t xml:space="preserve">The document is also not a guarantee. Even the most thoughtful governance design can erode over decades through institutional capture, gradual reinterpretation, or crisis-driven exception. Norway's GPFG is 35 years old; the platform's fund would need to remain governance-protected for 60+ years to reach maturity. The honest acknowledgment that no design can be perfectly durable is part of the architecture, not separate from 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“No single governance mechanism can protect a fund of this scale across sixty years of American politics. Only a stack of overlapping protections, each with different failure modes, can produce durable independence.”</w:t>
            </w:r>
          </w:p>
        </w:tc>
      </w:tr>
    </w:tbl>
    <w:p>
      <w:r>
        <w:br w:type="page"/>
      </w:r>
    </w:p>
    <w:p>
      <w:pPr>
        <w:pStyle w:val="Heading1"/>
        <w:spacing w:after="240" w:before="480"/>
      </w:pPr>
      <w:r>
        <w:rPr>
          <w:rFonts w:ascii="Arial" w:cs="Arial" w:eastAsia="Arial" w:hAnsi="Arial"/>
          <w:b/>
          <w:bCs/>
          <w:color w:val="1F4E78"/>
          <w:sz w:val="36"/>
          <w:szCs w:val="36"/>
        </w:rPr>
        <w:t xml:space="preserve">Design Principles</w:t>
      </w:r>
    </w:p>
    <w:p>
      <w:pPr>
        <w:spacing w:after="240" w:line="340"/>
        <w:jc w:val="both"/>
      </w:pPr>
      <w:r>
        <w:rPr>
          <w:rFonts w:ascii="Georgia" w:cs="Georgia" w:eastAsia="Georgia" w:hAnsi="Georgia"/>
          <w:color w:val="1A1A1A"/>
          <w:sz w:val="24"/>
          <w:szCs w:val="24"/>
        </w:rPr>
        <w:t xml:space="preserve">Five principles guide the multi-layer architecture. Each addresses a specific failure mode that has historically broken public funds. Together they produce protection that is more durable than any single mechanism.</w:t>
      </w:r>
    </w:p>
    <w:p>
      <w:pPr>
        <w:pStyle w:val="Heading2"/>
        <w:spacing w:after="160" w:before="360"/>
      </w:pPr>
      <w:r>
        <w:rPr>
          <w:rFonts w:ascii="Arial" w:cs="Arial" w:eastAsia="Arial" w:hAnsi="Arial"/>
          <w:b/>
          <w:bCs/>
          <w:color w:val="1F4E78"/>
          <w:sz w:val="28"/>
          <w:szCs w:val="28"/>
        </w:rPr>
        <w:t xml:space="preserve">Principle 1: Concentration Is the Enemy</w:t>
      </w:r>
    </w:p>
    <w:p>
      <w:pPr>
        <w:spacing w:after="200" w:line="320"/>
        <w:jc w:val="both"/>
      </w:pPr>
      <w:r>
        <w:rPr>
          <w:rFonts w:ascii="Georgia" w:cs="Georgia" w:eastAsia="Georgia" w:hAnsi="Georgia"/>
          <w:color w:val="1A1A1A"/>
          <w:sz w:val="22"/>
          <w:szCs w:val="22"/>
        </w:rPr>
        <w:t xml:space="preserve">A single $122 trillion fund managed by a single board is an irresistible target for political capture. The same sum split across multiple smaller funds with separate boards, separate disbursement rules, and separate accountability is dramatically harder to capture because each capture attempt produces only partial gains while creating political backlash. The architecture mandates fund splitting from the outset, before the fund is large enough to be politically interesting, so the split is structurally embedded rather than added later under pressure.</w:t>
      </w:r>
    </w:p>
    <w:p>
      <w:pPr>
        <w:pStyle w:val="Heading2"/>
        <w:spacing w:after="160" w:before="360"/>
      </w:pPr>
      <w:r>
        <w:rPr>
          <w:rFonts w:ascii="Arial" w:cs="Arial" w:eastAsia="Arial" w:hAnsi="Arial"/>
          <w:b/>
          <w:bCs/>
          <w:color w:val="1F4E78"/>
          <w:sz w:val="28"/>
          <w:szCs w:val="28"/>
        </w:rPr>
        <w:t xml:space="preserve">Principle 2: Passive Beats Active</w:t>
      </w:r>
    </w:p>
    <w:p>
      <w:pPr>
        <w:spacing w:after="200" w:line="320"/>
        <w:jc w:val="both"/>
      </w:pPr>
      <w:r>
        <w:rPr>
          <w:rFonts w:ascii="Georgia" w:cs="Georgia" w:eastAsia="Georgia" w:hAnsi="Georgia"/>
          <w:color w:val="1A1A1A"/>
          <w:sz w:val="22"/>
          <w:szCs w:val="22"/>
        </w:rPr>
        <w:t xml:space="preserve">Active investment management requires judgment about which companies to favor, which to exclude, and which to engage with through shareholder activism. Every one of those judgments creates a political target. Passive index investing eliminates the target by replacing judgment with rules. The fund holds market-weighted positions across global equities and bonds; it doesn't pick winners or losers; it doesn't engage in shareholder activism; its voting on corporate governance follows pre-disclosed rules that political pressure cannot easily redirect. This sacrifices some return potential and strategic capability in exchange for political durability. The trade-off is worth it because the fund's political durability is more valuable than its marginal return optimization.</w:t>
      </w:r>
    </w:p>
    <w:p>
      <w:pPr>
        <w:pStyle w:val="Heading2"/>
        <w:spacing w:after="160" w:before="360"/>
      </w:pPr>
      <w:r>
        <w:rPr>
          <w:rFonts w:ascii="Arial" w:cs="Arial" w:eastAsia="Arial" w:hAnsi="Arial"/>
          <w:b/>
          <w:bCs/>
          <w:color w:val="1F4E78"/>
          <w:sz w:val="28"/>
          <w:szCs w:val="28"/>
        </w:rPr>
        <w:t xml:space="preserve">Principle 3: Distributed Voting Beats Concentrated Voting</w:t>
      </w:r>
    </w:p>
    <w:p>
      <w:pPr>
        <w:spacing w:after="200" w:line="320"/>
        <w:jc w:val="both"/>
      </w:pPr>
      <w:r>
        <w:rPr>
          <w:rFonts w:ascii="Georgia" w:cs="Georgia" w:eastAsia="Georgia" w:hAnsi="Georgia"/>
          <w:color w:val="1A1A1A"/>
          <w:sz w:val="22"/>
          <w:szCs w:val="22"/>
        </w:rPr>
        <w:t xml:space="preserve">If the fund holds 5-10% of every American company, the question of how those shares vote is enormously consequential. Concentrating voting power in a small fund management team creates a target for political pressure and a vulnerability to capture. Distributing voting power back to the workers who own the underlying balances eliminates the concentration. Each participating worker would receive periodic ballots reflecting their pro-rata ownership, with default options for those who don't engage actively. This is operationally complex but technologically feasible at scale (modern proxy voting infrastructure could handle 200+ million ballots per year), and it converts what would otherwise be a political vulnerability into a feature that strengthens worker engagement with the fund's purpose.</w:t>
      </w:r>
    </w:p>
    <w:p>
      <w:pPr>
        <w:pStyle w:val="Heading2"/>
        <w:spacing w:after="160" w:before="360"/>
      </w:pPr>
      <w:r>
        <w:rPr>
          <w:rFonts w:ascii="Arial" w:cs="Arial" w:eastAsia="Arial" w:hAnsi="Arial"/>
          <w:b/>
          <w:bCs/>
          <w:color w:val="1F4E78"/>
          <w:sz w:val="28"/>
          <w:szCs w:val="28"/>
        </w:rPr>
        <w:t xml:space="preserve">Principle 4: Supermajorities Beat Simple Majorities</w:t>
      </w:r>
    </w:p>
    <w:p>
      <w:pPr>
        <w:spacing w:after="200" w:line="320"/>
        <w:jc w:val="both"/>
      </w:pPr>
      <w:r>
        <w:rPr>
          <w:rFonts w:ascii="Georgia" w:cs="Georgia" w:eastAsia="Georgia" w:hAnsi="Georgia"/>
          <w:color w:val="1A1A1A"/>
          <w:sz w:val="22"/>
          <w:szCs w:val="22"/>
        </w:rPr>
        <w:t xml:space="preserve">Routine bipartisan supermajorities (75-80%) are achievable on questions where clear majorities of both parties agree something is in the public interest. Partisan supermajorities are not achievable. Therefore: any change to fund disbursement formulas, asset allocation rules, governance structure, or protection mechanisms requires supermajority Congressional approval. This protects the fund against ordinary partisan shifts while allowing genuine bipartisan reform when warranted. The supermajority requirement also forces transparency: changes that can't survive supermajority scrutiny are precisely the changes that shouldn't happen.</w:t>
      </w:r>
    </w:p>
    <w:p>
      <w:pPr>
        <w:pStyle w:val="Heading2"/>
        <w:spacing w:after="160" w:before="360"/>
      </w:pPr>
      <w:r>
        <w:rPr>
          <w:rFonts w:ascii="Arial" w:cs="Arial" w:eastAsia="Arial" w:hAnsi="Arial"/>
          <w:b/>
          <w:bCs/>
          <w:color w:val="1F4E78"/>
          <w:sz w:val="28"/>
          <w:szCs w:val="28"/>
        </w:rPr>
        <w:t xml:space="preserve">Principle 5: Sunlight Beats Secrecy</w:t>
      </w:r>
    </w:p>
    <w:p>
      <w:pPr>
        <w:spacing w:after="200" w:line="320"/>
        <w:jc w:val="both"/>
      </w:pPr>
      <w:r>
        <w:rPr>
          <w:rFonts w:ascii="Georgia" w:cs="Georgia" w:eastAsia="Georgia" w:hAnsi="Georgia"/>
          <w:color w:val="1A1A1A"/>
          <w:sz w:val="22"/>
          <w:szCs w:val="22"/>
        </w:rPr>
        <w:t xml:space="preserve">Quarterly transparent public reporting with independent audit converts every governance question into a public question. Hidden manipulations are dramatically easier than visible ones; making the fund's operations visible at quarterly granularity raises the cost of every problematic decision. The reporting includes asset allocation, performance, voting decisions, governance changes, and any deviations from rule-based defaults. Independent audit by rotating big-four firms (with mandatory rotation every 5 years to prevent auditor capture) provides backstop verification.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“Concentration creates targets. Active management creates judgment vulnerabilities. Concentrated voting creates capture risk. Simple majorities allow partisan raids. Secrecy enables manipulation. The architecture treats each of these as a failure mode to design against.”</w:t>
            </w:r>
          </w:p>
        </w:tc>
      </w:tr>
    </w:tbl>
    <w:p>
      <w:r>
        <w:br w:type="page"/>
      </w:r>
    </w:p>
    <w:p>
      <w:pPr>
        <w:pStyle w:val="Heading1"/>
        <w:spacing w:after="240" w:before="480"/>
      </w:pPr>
      <w:r>
        <w:rPr>
          <w:rFonts w:ascii="Arial" w:cs="Arial" w:eastAsia="Arial" w:hAnsi="Arial"/>
          <w:b/>
          <w:bCs/>
          <w:color w:val="1F4E78"/>
          <w:sz w:val="36"/>
          <w:szCs w:val="36"/>
        </w:rPr>
        <w:t xml:space="preserve">Layer 1: Structural Protections</w:t>
      </w:r>
    </w:p>
    <w:p>
      <w:pPr>
        <w:spacing w:after="240" w:line="340"/>
        <w:jc w:val="both"/>
      </w:pPr>
      <w:r>
        <w:rPr>
          <w:rFonts w:ascii="Georgia" w:cs="Georgia" w:eastAsia="Georgia" w:hAnsi="Georgia"/>
          <w:color w:val="1A1A1A"/>
          <w:sz w:val="24"/>
          <w:szCs w:val="24"/>
        </w:rPr>
        <w:t xml:space="preserve">The fund's structure itself provides the first layer of protection. These elements are baked into the founding architecture and cannot be modified without supermajority Congressional approval (Layer 2). Each addresses a specific concentration or capture risk.</w:t>
      </w:r>
    </w:p>
    <w:p>
      <w:pPr>
        <w:pStyle w:val="Heading2"/>
        <w:spacing w:after="160" w:before="360"/>
      </w:pPr>
      <w:r>
        <w:rPr>
          <w:rFonts w:ascii="Arial" w:cs="Arial" w:eastAsia="Arial" w:hAnsi="Arial"/>
          <w:b/>
          <w:bCs/>
          <w:color w:val="1F4E78"/>
          <w:sz w:val="28"/>
          <w:szCs w:val="28"/>
        </w:rPr>
        <w:t xml:space="preserve">Split Fund Architecture</w:t>
      </w:r>
    </w:p>
    <w:p>
      <w:pPr>
        <w:spacing w:after="200" w:line="320"/>
        <w:jc w:val="both"/>
      </w:pPr>
      <w:r>
        <w:rPr>
          <w:rFonts w:ascii="Georgia" w:cs="Georgia" w:eastAsia="Georgia" w:hAnsi="Georgia"/>
          <w:color w:val="1A1A1A"/>
          <w:sz w:val="22"/>
          <w:szCs w:val="22"/>
        </w:rPr>
        <w:t xml:space="preserve">The Sovereign Fund is constituted as five separate funds, each with its own governance board, disbursement rules, and asset allocation. The split is along generational lines: Fund 1 covers ages 18-30, Fund 2 ages 31-45, Fund 3 ages 46-60, Fund 4 ages 61-75, and Fund 5 ages 76+. Each fund manages the contributions and balances of its cohort. The funds share a common technology platform and common index-tracking targets, but their governance and decision-making is separate.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Why this architecture</w:t>
            </w:r>
          </w:p>
          <w:p>
            <w:pPr>
              <w:spacing w:after="100" w:line="280"/>
            </w:pPr>
            <w:r>
              <w:rPr>
                <w:rFonts w:ascii="Georgia" w:cs="Georgia" w:eastAsia="Georgia" w:hAnsi="Georgia"/>
                <w:color w:val="1A1A1A"/>
                <w:sz w:val="21"/>
                <w:szCs w:val="21"/>
              </w:rPr>
              <w:t xml:space="preserve">•  Capture of one fund affects only one age cohort, not the entire system. The remaining four funds provide political ballast against any single capture attempt.</w:t>
            </w:r>
          </w:p>
          <w:p>
            <w:pPr>
              <w:spacing w:after="100" w:line="280"/>
            </w:pPr>
            <w:r>
              <w:rPr>
                <w:rFonts w:ascii="Georgia" w:cs="Georgia" w:eastAsia="Georgia" w:hAnsi="Georgia"/>
                <w:color w:val="1A1A1A"/>
                <w:sz w:val="21"/>
                <w:szCs w:val="21"/>
              </w:rPr>
              <w:t xml:space="preserve">•  Different cohorts have different risk tolerances and time horizons. Generational fund splitting allows each fund to be optimized for its cohort's specific needs without compromise.</w:t>
            </w:r>
          </w:p>
          <w:p>
            <w:pPr>
              <w:spacing w:after="100" w:line="280"/>
            </w:pPr>
            <w:r>
              <w:rPr>
                <w:rFonts w:ascii="Georgia" w:cs="Georgia" w:eastAsia="Georgia" w:hAnsi="Georgia"/>
                <w:color w:val="1A1A1A"/>
                <w:sz w:val="21"/>
                <w:szCs w:val="21"/>
              </w:rPr>
              <w:t xml:space="preserve">•  Five separate quarterly reports, five separate independent audits, five separate boards subject to oversight produces dramatically more transparency than a single mega-report.</w:t>
            </w:r>
          </w:p>
          <w:p>
            <w:pPr>
              <w:spacing w:after="100" w:line="280"/>
            </w:pPr>
            <w:r>
              <w:rPr>
                <w:rFonts w:ascii="Georgia" w:cs="Georgia" w:eastAsia="Georgia" w:hAnsi="Georgia"/>
                <w:color w:val="1A1A1A"/>
                <w:sz w:val="21"/>
                <w:szCs w:val="21"/>
              </w:rPr>
              <w:t xml:space="preserve">•  Crisis-driven raids would have to be coordinated across five separate fund structures, each with its own legal protections. The coordination cost makes raids substantially harder.</w:t>
            </w:r>
          </w:p>
          <w:p>
            <w:pPr>
              <w:spacing w:after="100" w:line="280"/>
            </w:pPr>
            <w:r>
              <w:rPr>
                <w:rFonts w:ascii="Georgia" w:cs="Georgia" w:eastAsia="Georgia" w:hAnsi="Georgia"/>
                <w:color w:val="1A1A1A"/>
                <w:sz w:val="21"/>
                <w:szCs w:val="21"/>
              </w:rPr>
              <w:t xml:space="preserve">•  Operational redundancy: if one fund's governance is compromised through capture, the remaining four continue functioning. The system degrades gracefully rather than catastrophically.</w:t>
            </w:r>
          </w:p>
        </w:tc>
      </w:tr>
    </w:tbl>
    <w:p>
      <w:pPr>
        <w:pStyle w:val="Heading2"/>
        <w:spacing w:after="160" w:before="360"/>
      </w:pPr>
      <w:r>
        <w:rPr>
          <w:rFonts w:ascii="Arial" w:cs="Arial" w:eastAsia="Arial" w:hAnsi="Arial"/>
          <w:b/>
          <w:bCs/>
          <w:color w:val="1F4E78"/>
          <w:sz w:val="28"/>
          <w:szCs w:val="28"/>
        </w:rPr>
        <w:t xml:space="preserve">Passive Index Mandate</w:t>
      </w:r>
    </w:p>
    <w:p>
      <w:pPr>
        <w:spacing w:after="200" w:line="320"/>
        <w:jc w:val="both"/>
      </w:pPr>
      <w:r>
        <w:rPr>
          <w:rFonts w:ascii="Georgia" w:cs="Georgia" w:eastAsia="Georgia" w:hAnsi="Georgia"/>
          <w:color w:val="1A1A1A"/>
          <w:sz w:val="22"/>
          <w:szCs w:val="22"/>
        </w:rPr>
        <w:t xml:space="preserve">Each fund's asset allocation is mandated by law to follow a defined index strategy. The default allocation is 60% global equities (weighted by market capitalization), 30% global bonds (weighted by issuance), 10% real assets (real estate and infrastructure indices). The funds buy and hold; they do not pick stocks; they do not engage in shareholder activism; they do not deviate from indices except in response to specific narrowly-defined exceptions (sanctions compliance, exclusion of weapons manufacturers, exclusion of tobacco).</w:t>
      </w:r>
    </w:p>
    <w:p>
      <w:pPr>
        <w:spacing w:after="200" w:line="320"/>
        <w:jc w:val="both"/>
      </w:pPr>
      <w:r>
        <w:rPr>
          <w:rFonts w:ascii="Georgia" w:cs="Georgia" w:eastAsia="Georgia" w:hAnsi="Georgia"/>
          <w:color w:val="1A1A1A"/>
          <w:sz w:val="22"/>
          <w:szCs w:val="22"/>
        </w:rPr>
        <w:t xml:space="preserve">Index providers are required to be at least three (S&amp;P, FTSE Russell, MSCI) operating in parallel with quarterly cross-checking, to prevent any single index provider from being captured to manipulate the fund's holdings. Index methodology changes that would substantially affect fund composition require 90-day notice and supermajority approval.</w:t>
      </w:r>
    </w:p>
    <w:p>
      <w:pPr>
        <w:pStyle w:val="Heading2"/>
        <w:spacing w:after="160" w:before="360"/>
      </w:pPr>
      <w:r>
        <w:rPr>
          <w:rFonts w:ascii="Arial" w:cs="Arial" w:eastAsia="Arial" w:hAnsi="Arial"/>
          <w:b/>
          <w:bCs/>
          <w:color w:val="1F4E78"/>
          <w:sz w:val="28"/>
          <w:szCs w:val="28"/>
        </w:rPr>
        <w:t xml:space="preserve">Distributed Voting Architecture</w:t>
      </w:r>
    </w:p>
    <w:p>
      <w:pPr>
        <w:spacing w:after="200" w:line="320"/>
        <w:jc w:val="both"/>
      </w:pPr>
      <w:r>
        <w:rPr>
          <w:rFonts w:ascii="Georgia" w:cs="Georgia" w:eastAsia="Georgia" w:hAnsi="Georgia"/>
          <w:color w:val="1A1A1A"/>
          <w:sz w:val="22"/>
          <w:szCs w:val="22"/>
        </w:rPr>
        <w:t xml:space="preserve">Voting rights on shares held by each fund are distributed to participating workers in proportion to their fund balances. Workers receive quarterly ballots through a secure digital platform (with paper backup options) showing the votes their pro-rata holdings would cast on annual meetings, board elections, and major corporate governance questions for the past quarter. Workers can either accept the default voting rule (which is disclosed in advance, typically aligned with mainstream proxy advisor recommendations like ISS or Glass Lewis) or override it on individual votes.</w:t>
      </w:r>
    </w:p>
    <w:p>
      <w:pPr>
        <w:spacing w:after="200" w:line="320"/>
        <w:jc w:val="both"/>
      </w:pPr>
      <w:r>
        <w:rPr>
          <w:rFonts w:ascii="Georgia" w:cs="Georgia" w:eastAsia="Georgia" w:hAnsi="Georgia"/>
          <w:color w:val="1A1A1A"/>
          <w:sz w:val="22"/>
          <w:szCs w:val="22"/>
        </w:rPr>
        <w:t xml:space="preserve">Workers who don't engage with their ballots default to the announced voting rule. The rule is itself subject to review by a pension expert advisory committee and published 60 days in advance of the proxy season, allowing public comment. This produces voting that reflects actual worker preferences where workers care, with sensible defaults where they don't, while preventing any small group from controlling the corporate-governance leverage the fund's holdings represent.</w:t>
      </w:r>
    </w:p>
    <w:p>
      <w:pPr>
        <w:pStyle w:val="Heading2"/>
        <w:spacing w:after="160" w:before="360"/>
      </w:pPr>
      <w:r>
        <w:rPr>
          <w:rFonts w:ascii="Arial" w:cs="Arial" w:eastAsia="Arial" w:hAnsi="Arial"/>
          <w:b/>
          <w:bCs/>
          <w:color w:val="1F4E78"/>
          <w:sz w:val="28"/>
          <w:szCs w:val="28"/>
        </w:rPr>
        <w:t xml:space="preserve">Geographic Diversification Mandate</w:t>
      </w:r>
    </w:p>
    <w:p>
      <w:pPr>
        <w:spacing w:after="200" w:line="320"/>
        <w:jc w:val="both"/>
      </w:pPr>
      <w:r>
        <w:rPr>
          <w:rFonts w:ascii="Georgia" w:cs="Georgia" w:eastAsia="Georgia" w:hAnsi="Georgia"/>
          <w:color w:val="1A1A1A"/>
          <w:sz w:val="22"/>
          <w:szCs w:val="22"/>
        </w:rPr>
        <w:t xml:space="preserve">No single fund can hold more than 60% of its assets in any single country, no more than 30% in any single sector, no more than 10% in any single company. These limits prevent the fund from becoming politically captured by domestic concentrations and ensure international diversification reduces correlation with US-specific economic shocks. The geographic and sector limits are baked into the structural protection layer and cannot be adjusted except through supermajority approval.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“Split the fund five ways. Mandate passive index investing. Distribute voting back to the workers. Diversify geographically. The structure itself is the first line of defense.”</w:t>
            </w:r>
          </w:p>
        </w:tc>
      </w:tr>
    </w:tbl>
    <w:p>
      <w:r>
        <w:br w:type="page"/>
      </w:r>
    </w:p>
    <w:p>
      <w:pPr>
        <w:pStyle w:val="Heading1"/>
        <w:spacing w:after="240" w:before="480"/>
      </w:pPr>
      <w:r>
        <w:rPr>
          <w:rFonts w:ascii="Arial" w:cs="Arial" w:eastAsia="Arial" w:hAnsi="Arial"/>
          <w:b/>
          <w:bCs/>
          <w:color w:val="1F4E78"/>
          <w:sz w:val="36"/>
          <w:szCs w:val="36"/>
        </w:rPr>
        <w:t xml:space="preserve">Layer 2: Statutory Protections</w:t>
      </w:r>
    </w:p>
    <w:p>
      <w:pPr>
        <w:spacing w:after="240" w:line="340"/>
        <w:jc w:val="both"/>
      </w:pPr>
      <w:r>
        <w:rPr>
          <w:rFonts w:ascii="Georgia" w:cs="Georgia" w:eastAsia="Georgia" w:hAnsi="Georgia"/>
          <w:color w:val="1A1A1A"/>
          <w:sz w:val="24"/>
          <w:szCs w:val="24"/>
        </w:rPr>
        <w:t xml:space="preserve">Statutory protections sit between the structural foundation and the constitutional ambition. They establish what current legislation must contain to make Layer 1 enforceable, and they specify what subsequent legislation must do (or not do) to preserve the fund's integrity.</w:t>
      </w:r>
    </w:p>
    <w:p>
      <w:pPr>
        <w:pStyle w:val="Heading2"/>
        <w:spacing w:after="160" w:before="360"/>
      </w:pPr>
      <w:r>
        <w:rPr>
          <w:rFonts w:ascii="Arial" w:cs="Arial" w:eastAsia="Arial" w:hAnsi="Arial"/>
          <w:b/>
          <w:bCs/>
          <w:color w:val="1F4E78"/>
          <w:sz w:val="28"/>
          <w:szCs w:val="28"/>
        </w:rPr>
        <w:t xml:space="preserve">Supermajority Change Requirement</w:t>
      </w:r>
    </w:p>
    <w:p>
      <w:pPr>
        <w:spacing w:after="200" w:line="320"/>
        <w:jc w:val="both"/>
      </w:pPr>
      <w:r>
        <w:rPr>
          <w:rFonts w:ascii="Georgia" w:cs="Georgia" w:eastAsia="Georgia" w:hAnsi="Georgia"/>
          <w:color w:val="1A1A1A"/>
          <w:sz w:val="22"/>
          <w:szCs w:val="22"/>
        </w:rPr>
        <w:t xml:space="preserve">Changes to fund disbursement formulas, asset allocation rules, governance structures, voting distribution mechanisms, or any structural protection require approval by a 75% supermajority in both chambers of Congress. This is higher than the Senate's 60-vote cloture threshold but lower than the 67-vote constitutional amendment threshold. The 75% threshold is achievable on genuinely bipartisan questions but blocks ordinary partisan shifts.</w:t>
      </w:r>
    </w:p>
    <w:p>
      <w:pPr>
        <w:spacing w:after="200" w:line="320"/>
        <w:jc w:val="both"/>
      </w:pPr>
      <w:r>
        <w:rPr>
          <w:rFonts w:ascii="Georgia" w:cs="Georgia" w:eastAsia="Georgia" w:hAnsi="Georgia"/>
          <w:color w:val="1A1A1A"/>
          <w:sz w:val="22"/>
          <w:szCs w:val="22"/>
        </w:rPr>
        <w:t xml:space="preserve">The supermajority requirement covers both direct changes (modifying the law that established the fund) and indirect changes (passing legislation that effectively undermines fund integrity, such as imposing taxes specifically on fund balances or directing fund disbursements to general revenue). The legal drafting must anticipate evasion attempts and include broad anti-circumvention language.</w:t>
      </w:r>
    </w:p>
    <w:p>
      <w:pPr>
        <w:pStyle w:val="Heading2"/>
        <w:spacing w:after="160" w:before="360"/>
      </w:pPr>
      <w:r>
        <w:rPr>
          <w:rFonts w:ascii="Arial" w:cs="Arial" w:eastAsia="Arial" w:hAnsi="Arial"/>
          <w:b/>
          <w:bCs/>
          <w:color w:val="1F4E78"/>
          <w:sz w:val="28"/>
          <w:szCs w:val="28"/>
        </w:rPr>
        <w:t xml:space="preserve">Trust Structure with Beneficiary Standing</w:t>
      </w:r>
    </w:p>
    <w:p>
      <w:pPr>
        <w:spacing w:after="200" w:line="320"/>
        <w:jc w:val="both"/>
      </w:pPr>
      <w:r>
        <w:rPr>
          <w:rFonts w:ascii="Georgia" w:cs="Georgia" w:eastAsia="Georgia" w:hAnsi="Georgia"/>
          <w:color w:val="1A1A1A"/>
          <w:sz w:val="22"/>
          <w:szCs w:val="22"/>
        </w:rPr>
        <w:t xml:space="preserve">The fund is established as a trust with every American holding a Sovereign Fund balance as a named beneficiary. This creates legal standing for individual beneficiaries to sue if the fund is misused, raided, or governance is compromised. Standing converts political enforcement into judicial enforcement, which is harder to subvert because federal judges have lifetime tenure and cannot be removed for unfavorable rulings.</w:t>
      </w:r>
    </w:p>
    <w:p>
      <w:pPr>
        <w:spacing w:after="200" w:line="320"/>
        <w:jc w:val="both"/>
      </w:pPr>
      <w:r>
        <w:rPr>
          <w:rFonts w:ascii="Georgia" w:cs="Georgia" w:eastAsia="Georgia" w:hAnsi="Georgia"/>
          <w:color w:val="1A1A1A"/>
          <w:sz w:val="22"/>
          <w:szCs w:val="22"/>
        </w:rPr>
        <w:t xml:space="preserve">The trust documents specify the trustees' fiduciary duty to beneficiaries (not to the federal government or any administration), with specific liability for breaches. This creates personal accountability for trustees that doesn't exist under standard governmental fund structures. Trustees who participate in raids or capture attempts face personal civil liability for breach of fiduciary duty.</w:t>
      </w:r>
    </w:p>
    <w:p>
      <w:pPr>
        <w:pStyle w:val="Heading2"/>
        <w:spacing w:after="160" w:before="360"/>
      </w:pPr>
      <w:r>
        <w:rPr>
          <w:rFonts w:ascii="Arial" w:cs="Arial" w:eastAsia="Arial" w:hAnsi="Arial"/>
          <w:b/>
          <w:bCs/>
          <w:color w:val="1F4E78"/>
          <w:sz w:val="28"/>
          <w:szCs w:val="28"/>
        </w:rPr>
        <w:t xml:space="preserve">Disbursement Restrictions</w:t>
      </w:r>
    </w:p>
    <w:p>
      <w:pPr>
        <w:spacing w:after="200" w:line="320"/>
        <w:jc w:val="both"/>
      </w:pPr>
      <w:r>
        <w:rPr>
          <w:rFonts w:ascii="Georgia" w:cs="Georgia" w:eastAsia="Georgia" w:hAnsi="Georgia"/>
          <w:color w:val="1A1A1A"/>
          <w:sz w:val="22"/>
          <w:szCs w:val="22"/>
        </w:rPr>
        <w:t>Fund disbursements are statutorily restricted to specific purposes defined in the founding legislation: retirement benefits per the Community Contribution Plan formula, education fund seeding per the Sovereign Education Fund design, healthcare cross-subsidization per the universal healthcare Model, and other defined purposes. Any disbursement for purposes not specified in the founding legislation requires supermajority approval to add the new purpose; it cannot be done administratively or through ordinary legislation.</w:t>
      </w:r>
    </w:p>
    <w:p>
      <w:pPr>
        <w:spacing w:after="200" w:line="320"/>
        <w:jc w:val="both"/>
      </w:pPr>
      <w:r>
        <w:rPr>
          <w:rFonts w:ascii="Georgia" w:cs="Georgia" w:eastAsia="Georgia" w:hAnsi="Georgia"/>
          <w:color w:val="1A1A1A"/>
          <w:sz w:val="22"/>
          <w:szCs w:val="22"/>
        </w:rPr>
        <w:t xml:space="preserve">Crucially, disbursements to general federal revenue are explicitly prohibited. The fund cannot be used to pay down ordinary federal debt, cover annual budget deficits, or fund unrelated programs. This prohibition is itself protected by the supermajority requirement, meaning it cannot be relaxed without supermajority approval that would be politically very difficult to obtain.</w:t>
      </w:r>
    </w:p>
    <w:p>
      <w:pPr>
        <w:pStyle w:val="Heading2"/>
        <w:spacing w:after="160" w:before="360"/>
      </w:pPr>
      <w:r>
        <w:rPr>
          <w:rFonts w:ascii="Arial" w:cs="Arial" w:eastAsia="Arial" w:hAnsi="Arial"/>
          <w:b/>
          <w:bCs/>
          <w:color w:val="1F4E78"/>
          <w:sz w:val="28"/>
          <w:szCs w:val="28"/>
        </w:rPr>
        <w:t xml:space="preserve">Anti-Crisis Exception Drafting</w:t>
      </w:r>
    </w:p>
    <w:p>
      <w:pPr>
        <w:spacing w:after="200" w:line="320"/>
        <w:jc w:val="both"/>
      </w:pPr>
      <w:r>
        <w:rPr>
          <w:rFonts w:ascii="Georgia" w:cs="Georgia" w:eastAsia="Georgia" w:hAnsi="Georgia"/>
          <w:color w:val="1A1A1A"/>
          <w:sz w:val="22"/>
          <w:szCs w:val="22"/>
        </w:rPr>
        <w:t xml:space="preserve">Crisis legislation typically includes emergency provisions that override normal protections. The fund's statutory structure must explicitly state that emergency provisions in other legislation do not override fund protections. This requires careful legal drafting that anticipates how crisis legislation typically operates and forecloses the most likely override mechanisms. The drafting cannot be perfect (lawmakers can always pass new legislation that explicitly overrides), but it raises the visibility cost of crisis-driven raids.</w:t>
      </w:r>
    </w:p>
    <w:p>
      <w:pPr>
        <w:pStyle w:val="Heading2"/>
        <w:spacing w:after="160" w:before="360"/>
      </w:pPr>
      <w:r>
        <w:rPr>
          <w:rFonts w:ascii="Arial" w:cs="Arial" w:eastAsia="Arial" w:hAnsi="Arial"/>
          <w:b/>
          <w:bCs/>
          <w:color w:val="1F4E78"/>
          <w:sz w:val="28"/>
          <w:szCs w:val="28"/>
        </w:rPr>
        <w:t xml:space="preserve">Sunset and Reauthorization</w:t>
      </w:r>
    </w:p>
    <w:p>
      <w:pPr>
        <w:spacing w:after="200" w:line="320"/>
        <w:jc w:val="both"/>
      </w:pPr>
      <w:r>
        <w:rPr>
          <w:rFonts w:ascii="Georgia" w:cs="Georgia" w:eastAsia="Georgia" w:hAnsi="Georgia"/>
          <w:color w:val="1A1A1A"/>
          <w:sz w:val="22"/>
          <w:szCs w:val="22"/>
        </w:rPr>
        <w:t xml:space="preserve">Counterintuitively, the fund's statutory protections include 50-year reauthorization sunsets. This sounds like a vulnerability but functions as a feature: the entire fund structure must be re-examined and re-justified by Congress every 50 years. The reauthorization requires supermajority approval, with the default being continuation of existing protections if Congress fails to act. The sunset structure prevents the fund from becoming a permanent institution that drifts away from its original purpose, while making any deliberate destruction require active supermajority opposition.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“Supermajority requirements raise the bar for change. Trust structures create individual standing. Disbursement restrictions prevent raids. Crisis exception drafting closes the easiest backdoors. Sunset provisions force periodic legitimacy review.”</w:t>
            </w:r>
          </w:p>
        </w:tc>
      </w:tr>
    </w:tbl>
    <w:p>
      <w:r>
        <w:br w:type="page"/>
      </w:r>
    </w:p>
    <w:p>
      <w:pPr>
        <w:pStyle w:val="Heading2"/>
        <w:spacing w:after="160" w:before="360"/>
      </w:pPr>
      <w:r>
        <w:rPr>
          <w:rFonts w:ascii="Arial" w:cs="Arial" w:eastAsia="Arial" w:hAnsi="Arial"/>
          <w:b/>
          <w:bCs/>
          <w:color w:val="1F4E78"/>
          <w:sz w:val="28"/>
          <w:szCs w:val="28"/>
        </w:rPr>
        <w:t xml:space="preserve">Automatic Balancing Mechanism</w:t>
      </w:r>
    </w:p>
    <w:p>
      <w:pPr>
        <w:spacing w:after="200" w:line="320"/>
        <w:jc w:val="both"/>
      </w:pPr>
      <w:r>
        <w:rPr>
          <w:rFonts w:ascii="Georgia" w:cs="Georgia" w:eastAsia="Georgia" w:hAnsi="Georgia"/>
          <w:color w:val="1A1A1A"/>
          <w:sz w:val="22"/>
          <w:szCs w:val="22"/>
        </w:rPr>
        <w:t xml:space="preserve">The fund’s adjacent pillars are bridge-financed: each draws on fund disbursements only until its own dedicated payroll funding reaches the equilibrium that lets the bridge sunset. The danger is that the decision to adjust a lagging pillar — one whose dedicated funding is not converging on schedule — becomes a discretionary political act, which is precisely where capture and drift enter. To remove that discretion, the design specifies an automatic balancing mechanism modeled on the auto-adjustment rules mature public pension systems already use: when a pillar’s funding ratio falls outside a pre-defined corridor for a defined observation window, a pre-legislated correction triggers without a new vote. The correction is rule-bound and symmetric — it can tighten the bridge draw and step the dedicated contribution toward equilibrium when a pillar lags, and ease the contribution when a pillar runs ahead — so that no actor chooses the timing or the beneficiaries of an adjustment.</w:t>
      </w:r>
    </w:p>
    <w:p>
      <w:pPr>
        <w:spacing w:after="200" w:line="320"/>
        <w:jc w:val="both"/>
      </w:pPr>
      <w:r>
        <w:rPr>
          <w:rFonts w:ascii="Georgia" w:cs="Georgia" w:eastAsia="Georgia" w:hAnsi="Georgia"/>
          <w:color w:val="1A1A1A"/>
          <w:sz w:val="22"/>
          <w:szCs w:val="22"/>
        </w:rPr>
        <w:t xml:space="preserve">The mechanism is deliberately mechanical rather than optimal. A standing formula that fires predictably is more capture-resistant than a discretionary board empowered to do the right thing case by case, because predictability is what denies a captured actor room to act. The corridor width, the observation window, and the size of each correction step are the parameters that decide whether the rule stabilizes or amplifies, and they are exactly the parameters this platform is not positioned to set on its own — see the acknowledgment below.</w:t>
      </w:r>
    </w:p>
    <w:p>
      <w:pPr>
        <w:pStyle w:val="Heading1"/>
        <w:spacing w:after="240" w:before="480"/>
      </w:pPr>
      <w:r>
        <w:rPr>
          <w:rFonts w:ascii="Arial" w:cs="Arial" w:eastAsia="Arial" w:hAnsi="Arial"/>
          <w:b/>
          <w:bCs/>
          <w:color w:val="1F4E78"/>
          <w:sz w:val="36"/>
          <w:szCs w:val="36"/>
        </w:rPr>
        <w:t xml:space="preserve">Layer 3: Institutional Protections</w:t>
      </w:r>
    </w:p>
    <w:p>
      <w:pPr>
        <w:spacing w:after="240" w:line="340"/>
        <w:jc w:val="both"/>
      </w:pPr>
      <w:r>
        <w:rPr>
          <w:rFonts w:ascii="Georgia" w:cs="Georgia" w:eastAsia="Georgia" w:hAnsi="Georgia"/>
          <w:color w:val="1A1A1A"/>
          <w:sz w:val="24"/>
          <w:szCs w:val="24"/>
        </w:rPr>
        <w:t xml:space="preserve">The institutions that govern the fund are themselves subject to design choices that affect long-term durability. This layer specifies how the boards, executives, and oversight bodies are structured to resist capture and maintain independence.</w:t>
      </w:r>
    </w:p>
    <w:p>
      <w:pPr>
        <w:pStyle w:val="Heading2"/>
        <w:spacing w:after="160" w:before="360"/>
      </w:pPr>
      <w:r>
        <w:rPr>
          <w:rFonts w:ascii="Arial" w:cs="Arial" w:eastAsia="Arial" w:hAnsi="Arial"/>
          <w:b/>
          <w:bCs/>
          <w:color w:val="1F4E78"/>
          <w:sz w:val="28"/>
          <w:szCs w:val="28"/>
        </w:rPr>
        <w:t xml:space="preserve">Board Composition and Selection</w:t>
      </w:r>
    </w:p>
    <w:p>
      <w:pPr>
        <w:spacing w:after="200" w:line="320"/>
        <w:jc w:val="both"/>
      </w:pPr>
      <w:r>
        <w:rPr>
          <w:rFonts w:ascii="Georgia" w:cs="Georgia" w:eastAsia="Georgia" w:hAnsi="Georgia"/>
          <w:color w:val="1A1A1A"/>
          <w:sz w:val="22"/>
          <w:szCs w:val="22"/>
        </w:rPr>
        <w:t xml:space="preserve">Each of the five funds has a 9-member board with staggered 12-year terms. Board members are appointed through a multi-step process designed to prevent any single administration from packing the board: 3 members appointed by the President with Senate confirmation (60-vote threshold), 3 members elected by participating workers in the relevant age cohort through a secure online voting process, and 3 members appointed by professional financial associations (CFA Institute, Society of Actuaries, American Economic Association).</w:t>
      </w:r>
    </w:p>
    <w:p>
      <w:pPr>
        <w:spacing w:after="200" w:line="320"/>
        <w:jc w:val="both"/>
      </w:pPr>
      <w:r>
        <w:rPr>
          <w:rFonts w:ascii="Georgia" w:cs="Georgia" w:eastAsia="Georgia" w:hAnsi="Georgia"/>
          <w:color w:val="1A1A1A"/>
          <w:sz w:val="22"/>
          <w:szCs w:val="22"/>
        </w:rPr>
        <w:t xml:space="preserve">The 12-year terms with staggered timing mean a single 4-year presidential term can affect at most 1 of the 3 presidentially-appointed seats. The worker-elected seats provide democratic legitimacy without political party capture (the elections are non-partisan and use ranked-choice voting). The professional association seats provide technical expertise and continuity. No single source of selection can dominate, and the staggered timing ensures continuity across political transitions.</w:t>
      </w:r>
    </w:p>
    <w:p>
      <w:pPr>
        <w:pStyle w:val="Heading2"/>
        <w:spacing w:after="160" w:before="360"/>
      </w:pPr>
      <w:r>
        <w:rPr>
          <w:rFonts w:ascii="Arial" w:cs="Arial" w:eastAsia="Arial" w:hAnsi="Arial"/>
          <w:b/>
          <w:bCs/>
          <w:color w:val="1F4E78"/>
          <w:sz w:val="28"/>
          <w:szCs w:val="28"/>
        </w:rPr>
        <w:t xml:space="preserve">Compensation Structure</w:t>
      </w:r>
    </w:p>
    <w:p>
      <w:pPr>
        <w:spacing w:after="200" w:line="320"/>
        <w:jc w:val="both"/>
      </w:pPr>
      <w:r>
        <w:rPr>
          <w:rFonts w:ascii="Georgia" w:cs="Georgia" w:eastAsia="Georgia" w:hAnsi="Georgia"/>
          <w:color w:val="1A1A1A"/>
          <w:sz w:val="22"/>
          <w:szCs w:val="22"/>
        </w:rPr>
        <w:t xml:space="preserve">Board members receive compensation set as a percentage of the fund's assets under management, capped at the median compensation of large pension fund trustees. This produces compensation that is meaningful enough to attract qualified candidates but not large enough to create capture incentives. Critically, compensation does not vary based on fund returns: paying boards based on returns creates incentives for excessive risk-taking and short-term thinking that conflict with the fund's long-term mandate.</w:t>
      </w:r>
    </w:p>
    <w:p>
      <w:pPr>
        <w:spacing w:after="200" w:line="320"/>
        <w:jc w:val="both"/>
      </w:pPr>
      <w:r>
        <w:rPr>
          <w:rFonts w:ascii="Georgia" w:cs="Georgia" w:eastAsia="Georgia" w:hAnsi="Georgia"/>
          <w:color w:val="1A1A1A"/>
          <w:sz w:val="22"/>
          <w:szCs w:val="22"/>
        </w:rPr>
        <w:t xml:space="preserve">Board members are also subject to strict revolving-door restrictions: a 5-year cooling-off period before joining any company that is among the fund's top 100 holdings, and lifetime prohibition on consulting work that would create direct conflicts of interest. The restrictions are enforced by the trust structure's beneficiary standing provision.</w:t>
      </w:r>
    </w:p>
    <w:p>
      <w:pPr>
        <w:pStyle w:val="Heading2"/>
        <w:spacing w:after="160" w:before="360"/>
      </w:pPr>
      <w:r>
        <w:rPr>
          <w:rFonts w:ascii="Arial" w:cs="Arial" w:eastAsia="Arial" w:hAnsi="Arial"/>
          <w:b/>
          <w:bCs/>
          <w:color w:val="1F4E78"/>
          <w:sz w:val="28"/>
          <w:szCs w:val="28"/>
        </w:rPr>
        <w:t xml:space="preserve">Executive Selection and Removal</w:t>
      </w:r>
    </w:p>
    <w:p>
      <w:pPr>
        <w:spacing w:after="200" w:line="320"/>
        <w:jc w:val="both"/>
      </w:pPr>
      <w:r>
        <w:rPr>
          <w:rFonts w:ascii="Georgia" w:cs="Georgia" w:eastAsia="Georgia" w:hAnsi="Georgia"/>
          <w:color w:val="1A1A1A"/>
          <w:sz w:val="22"/>
          <w:szCs w:val="22"/>
        </w:rPr>
        <w:t xml:space="preserve">Each fund's CEO is selected by the board through a 75% supermajority requirement (7 of 9 votes). This prevents board factions from installing politically-aligned executives. CEO removal also requires 75% supermajority unless cause is established through specific defined misconduct, in which case removal can occur with simple majority but is subject to judicial review.</w:t>
      </w:r>
    </w:p>
    <w:p>
      <w:pPr>
        <w:spacing w:after="200" w:line="320"/>
        <w:jc w:val="both"/>
      </w:pPr>
      <w:r>
        <w:rPr>
          <w:rFonts w:ascii="Georgia" w:cs="Georgia" w:eastAsia="Georgia" w:hAnsi="Georgia"/>
          <w:color w:val="1A1A1A"/>
          <w:sz w:val="22"/>
          <w:szCs w:val="22"/>
        </w:rPr>
        <w:t xml:space="preserve">CEOs serve 10-year terms, longer than any presidential administration, with one possible reappointment. The long term and the supermajority appointment requirement together produce executives who are accountable to the board's long-term mandate rather than to political administrations.</w:t>
      </w:r>
    </w:p>
    <w:p>
      <w:pPr>
        <w:pStyle w:val="Heading2"/>
        <w:spacing w:after="160" w:before="360"/>
      </w:pPr>
      <w:r>
        <w:rPr>
          <w:rFonts w:ascii="Arial" w:cs="Arial" w:eastAsia="Arial" w:hAnsi="Arial"/>
          <w:b/>
          <w:bCs/>
          <w:color w:val="1F4E78"/>
          <w:sz w:val="28"/>
          <w:szCs w:val="28"/>
        </w:rPr>
        <w:t xml:space="preserve">Independent Audit and Oversight</w:t>
      </w:r>
    </w:p>
    <w:p>
      <w:pPr>
        <w:spacing w:after="200" w:line="320"/>
        <w:jc w:val="both"/>
      </w:pPr>
      <w:r>
        <w:rPr>
          <w:rFonts w:ascii="Georgia" w:cs="Georgia" w:eastAsia="Georgia" w:hAnsi="Georgia"/>
          <w:color w:val="1A1A1A"/>
          <w:sz w:val="22"/>
          <w:szCs w:val="22"/>
        </w:rPr>
        <w:t xml:space="preserve">Each fund is audited annually by a Big Four accounting firm, with mandatory rotation every 5 years to prevent auditor capture. Additionally, the Government Accountability Office conducts a comprehensive review every 3 years that is published publicly. The Inspector General for the Sovereign Fund system (a Senate-confirmed position with a 10-year term) provides ongoing oversight with subpoena power and the ability to initiate investigations independently of political direction.</w:t>
      </w:r>
    </w:p>
    <w:p>
      <w:pPr>
        <w:spacing w:after="200" w:line="320"/>
        <w:jc w:val="both"/>
      </w:pPr>
      <w:r>
        <w:rPr>
          <w:rFonts w:ascii="Georgia" w:cs="Georgia" w:eastAsia="Georgia" w:hAnsi="Georgia"/>
          <w:color w:val="1A1A1A"/>
          <w:sz w:val="22"/>
          <w:szCs w:val="22"/>
        </w:rPr>
        <w:t xml:space="preserve">Critically, the audit and oversight findings are public by default. Hiding findings requires supermajority Congressional action with specific national security justifications, making routine concealment effectively impossible.</w:t>
      </w:r>
    </w:p>
    <w:p>
      <w:pPr>
        <w:pStyle w:val="Heading2"/>
        <w:spacing w:after="160" w:before="360"/>
      </w:pPr>
      <w:r>
        <w:rPr>
          <w:rFonts w:ascii="Arial" w:cs="Arial" w:eastAsia="Arial" w:hAnsi="Arial"/>
          <w:b/>
          <w:bCs/>
          <w:color w:val="1F4E78"/>
          <w:sz w:val="28"/>
          <w:szCs w:val="28"/>
        </w:rPr>
        <w:t xml:space="preserve">Worker Voice Mechanism</w:t>
      </w:r>
    </w:p>
    <w:p>
      <w:pPr>
        <w:spacing w:after="200" w:line="320"/>
        <w:jc w:val="both"/>
      </w:pPr>
      <w:r>
        <w:rPr>
          <w:rFonts w:ascii="Georgia" w:cs="Georgia" w:eastAsia="Georgia" w:hAnsi="Georgia"/>
          <w:color w:val="1A1A1A"/>
          <w:sz w:val="22"/>
          <w:szCs w:val="22"/>
        </w:rPr>
        <w:t xml:space="preserve">Beyond the worker-elected board seats, each fund maintains a Worker Council of 25 members elected by participating workers. The Council has advisory rather than decision-making authority but can demand explanation of board decisions, can publish dissenting opinions, and can trigger formal review processes for decisions that appear to violate the fund's mandate. The Council provides ongoing democratic legitimacy without creating governance gridlock.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“Staggered 12-year terms across multiple appointment sources. Compensation that doesn't reward risk-taking. CEO selection requiring supermajority. Multi-source audit and oversight. Worker Councils for ongoing democratic engagement.”</w:t>
            </w:r>
          </w:p>
        </w:tc>
      </w:tr>
    </w:tbl>
    <w:p>
      <w:r>
        <w:br w:type="page"/>
      </w:r>
    </w:p>
    <w:p>
      <w:pPr>
        <w:pStyle w:val="Heading2"/>
        <w:spacing w:after="160" w:before="360"/>
      </w:pPr>
      <w:r>
        <w:rPr>
          <w:rFonts w:ascii="Arial" w:cs="Arial" w:eastAsia="Arial" w:hAnsi="Arial"/>
          <w:b/>
          <w:bCs/>
          <w:color w:val="1F4E78"/>
          <w:sz w:val="28"/>
          <w:szCs w:val="28"/>
        </w:rPr>
        <w:t xml:space="preserve">Ethics Council and Exclusion Framework</w:t>
      </w:r>
    </w:p>
    <w:p>
      <w:pPr>
        <w:spacing w:after="200" w:line="320"/>
        <w:jc w:val="both"/>
      </w:pPr>
      <w:r>
        <w:rPr>
          <w:rFonts w:ascii="Georgia" w:cs="Georgia" w:eastAsia="Georgia" w:hAnsi="Georgia"/>
          <w:color w:val="1A1A1A"/>
          <w:sz w:val="22"/>
          <w:szCs w:val="22"/>
        </w:rPr>
        <w:t xml:space="preserve">A passive, broadly diversified fund still owns whatever the index contains, which raises the question of whether a public fund should hold everything indiscriminately. Drawing on the model Norway’s sovereign wealth fund has operated for two decades, the design establishes an independent ethics council, separate from the investment managers, that recommends exclusion of holdings on narrow, pre-published grounds — conduct the public would not want its commonwealth fund to finance. Exclusion decisions and their reasoning are public, so the criteria are visible and contestable rather than applied behind closed doors.</w:t>
      </w:r>
    </w:p>
    <w:p>
      <w:pPr>
        <w:spacing w:after="200" w:line="320"/>
        <w:jc w:val="both"/>
      </w:pPr>
      <w:r>
        <w:rPr>
          <w:rFonts w:ascii="Georgia" w:cs="Georgia" w:eastAsia="Georgia" w:hAnsi="Georgia"/>
          <w:color w:val="1A1A1A"/>
          <w:sz w:val="22"/>
          <w:szCs w:val="22"/>
        </w:rPr>
        <w:t xml:space="preserve">The framework is deliberately constrained to protect the passive mandate. Exclusions operate against published criteria rather than ad hoc preference, the excluded set is expected to be small relative to the index, and re-inclusion follows the same transparent process when the underlying conduct ends — so the council narrows the universe by rule without becoming a backdoor for active stock-picking or political signaling. Where the line sits between legitimate ethical exclusion and mission creep, and how the council’s independence is guaranteed against both investment-side and political pressure, are governance questions this platform flags for expert review rather than settles.</w:t>
      </w:r>
    </w:p>
    <w:p>
      <w:pPr>
        <w:pStyle w:val="Heading2"/>
        <w:spacing w:after="160" w:before="360"/>
      </w:pPr>
      <w:r>
        <w:rPr>
          <w:rFonts w:ascii="Arial" w:cs="Arial" w:eastAsia="Arial" w:hAnsi="Arial"/>
          <w:b/>
          <w:bCs/>
          <w:color w:val="1F4E78"/>
          <w:sz w:val="28"/>
          <w:szCs w:val="28"/>
        </w:rPr>
        <w:t xml:space="preserve">Conflict-of-Interest and Revolving-Door Rules</w:t>
      </w:r>
    </w:p>
    <w:p>
      <w:pPr>
        <w:spacing w:after="200" w:line="320"/>
        <w:jc w:val="both"/>
      </w:pPr>
      <w:r>
        <w:rPr>
          <w:rFonts w:ascii="Georgia" w:cs="Georgia" w:eastAsia="Georgia" w:hAnsi="Georgia"/>
          <w:color w:val="1A1A1A"/>
          <w:sz w:val="22"/>
          <w:szCs w:val="22"/>
        </w:rPr>
        <w:t xml:space="preserve">Structural and statutory protections constrain what the fund can do; integrity rules constrain who can do it. Every fund manager, board member, executive, and senior pillar administrator is bound by mandatory recusal from any decision touching an entity in which they, or an immediate family member, hold a financial interest; by full public disclosure of financial interests on appointment and annually thereafter; and by a prohibition on holding individual securities the fund can trade, with personal assets placed in a blind trust or in the fund’s own passive index vehicles for the duration of service.</w:t>
      </w:r>
    </w:p>
    <w:p>
      <w:pPr>
        <w:spacing w:after="200" w:line="320"/>
        <w:jc w:val="both"/>
      </w:pPr>
      <w:r>
        <w:rPr>
          <w:rFonts w:ascii="Georgia" w:cs="Georgia" w:eastAsia="Georgia" w:hAnsi="Georgia"/>
          <w:color w:val="1A1A1A"/>
          <w:sz w:val="22"/>
          <w:szCs w:val="22"/>
        </w:rPr>
        <w:t xml:space="preserve">The revolving door is closed from both sides. A cooling-off period bars senior personnel from taking compensated positions with the fund’s large counterparties — asset managers, custodians, and major index providers — for a defined period after leaving, and bars recent employees of those same counterparties from senior fund roles for a symmetric period. Violations carry clawback of compensation and statutory penalties rather than discretionary sanction. The specific interest thresholds, the length of the cooling-off period, and the counterparty definitions are policy parameters that require review by government-ethics and securities-law practitioners before they could be set responsibly.</w:t>
      </w:r>
    </w:p>
    <w:p>
      <w:pPr>
        <w:pStyle w:val="Heading1"/>
        <w:spacing w:after="240" w:before="480"/>
      </w:pPr>
      <w:r>
        <w:rPr>
          <w:rFonts w:ascii="Arial" w:cs="Arial" w:eastAsia="Arial" w:hAnsi="Arial"/>
          <w:b/>
          <w:bCs/>
          <w:color w:val="1F4E78"/>
          <w:sz w:val="36"/>
          <w:szCs w:val="36"/>
        </w:rPr>
        <w:t xml:space="preserve">Layer 4: Constitutional Aspirations</w:t>
      </w:r>
    </w:p>
    <w:p>
      <w:pPr>
        <w:spacing w:after="240" w:line="340"/>
        <w:jc w:val="both"/>
      </w:pPr>
      <w:r>
        <w:rPr>
          <w:rFonts w:ascii="Georgia" w:cs="Georgia" w:eastAsia="Georgia" w:hAnsi="Georgia"/>
          <w:color w:val="1A1A1A"/>
          <w:sz w:val="24"/>
          <w:szCs w:val="24"/>
        </w:rPr>
        <w:t xml:space="preserve">The strongest possible protection is constitutional. This layer is acknowledged as desirable but treated honestly: it requires constitutional politics that the platform itself cannot create. The platform's job is to articulate what constitutional protection would look like if achievable, not to claim it can be delivered.</w:t>
      </w:r>
    </w:p>
    <w:p>
      <w:pPr>
        <w:pStyle w:val="Heading2"/>
        <w:spacing w:after="160" w:before="360"/>
      </w:pPr>
      <w:r>
        <w:rPr>
          <w:rFonts w:ascii="Arial" w:cs="Arial" w:eastAsia="Arial" w:hAnsi="Arial"/>
          <w:b/>
          <w:bCs/>
          <w:color w:val="1F4E78"/>
          <w:sz w:val="28"/>
          <w:szCs w:val="28"/>
        </w:rPr>
        <w:t xml:space="preserve">What a Constitutional Amendment Would Establish</w:t>
      </w:r>
    </w:p>
    <w:p>
      <w:pPr>
        <w:spacing w:after="200" w:line="320"/>
        <w:jc w:val="both"/>
      </w:pPr>
      <w:r>
        <w:rPr>
          <w:rFonts w:ascii="Georgia" w:cs="Georgia" w:eastAsia="Georgia" w:hAnsi="Georgia"/>
          <w:color w:val="1A1A1A"/>
          <w:sz w:val="22"/>
          <w:szCs w:val="22"/>
        </w:rPr>
        <w:t xml:space="preserve">A constitutional amendment protecting the Sovereign Fund would establish: (1) the fund's existence and structure as a constitutional matter; (2) the prohibition on raids for general federal revenue as a constitutional principle; (3) the supermajority requirement for structural changes as a constitutional rule rather than a statutory choice; (4) beneficiary standing as a constitutional right rather than a statutory grant; and (5) judicial review of any legislation affecting the fund's protections.</w:t>
      </w:r>
    </w:p>
    <w:p>
      <w:pPr>
        <w:spacing w:after="200" w:line="320"/>
        <w:jc w:val="both"/>
      </w:pPr>
      <w:r>
        <w:rPr>
          <w:rFonts w:ascii="Georgia" w:cs="Georgia" w:eastAsia="Georgia" w:hAnsi="Georgia"/>
          <w:color w:val="1A1A1A"/>
          <w:sz w:val="22"/>
          <w:szCs w:val="22"/>
        </w:rPr>
        <w:t xml:space="preserve">The amendment would not specify operational details (asset allocation, disbursement formulas, board composition) since those legitimately need to evolve over time. It would establish the structural protections at constitutional level while leaving operational design to subsequent statutes operating within those protections.</w:t>
      </w:r>
    </w:p>
    <w:p>
      <w:pPr>
        <w:pStyle w:val="Heading2"/>
        <w:spacing w:after="160" w:before="360"/>
      </w:pPr>
      <w:r>
        <w:rPr>
          <w:rFonts w:ascii="Arial" w:cs="Arial" w:eastAsia="Arial" w:hAnsi="Arial"/>
          <w:b/>
          <w:bCs/>
          <w:color w:val="1F4E78"/>
          <w:sz w:val="28"/>
          <w:szCs w:val="28"/>
        </w:rPr>
        <w:t xml:space="preserve">Why Constitutional Protection Matters</w:t>
      </w:r>
    </w:p>
    <w:p>
      <w:pPr>
        <w:spacing w:after="200" w:line="320"/>
        <w:jc w:val="both"/>
      </w:pPr>
      <w:r>
        <w:rPr>
          <w:rFonts w:ascii="Georgia" w:cs="Georgia" w:eastAsia="Georgia" w:hAnsi="Georgia"/>
          <w:color w:val="1A1A1A"/>
          <w:sz w:val="22"/>
          <w:szCs w:val="22"/>
        </w:rPr>
        <w:t xml:space="preserve">Statutory protections, no matter how carefully drafted, can be amended by ordinary legislation. The supermajority requirement for fund changes is itself a statutory provision that could be amended by another supermajority requirement or by simple majority through specific carve-outs. Constitutional protection forecloses the easiest amendment paths by requiring 38-state ratification rather than just supermajority Congressional approval.</w:t>
      </w:r>
    </w:p>
    <w:p>
      <w:pPr>
        <w:spacing w:after="200" w:line="320"/>
        <w:jc w:val="both"/>
      </w:pPr>
      <w:r>
        <w:rPr>
          <w:rFonts w:ascii="Georgia" w:cs="Georgia" w:eastAsia="Georgia" w:hAnsi="Georgia"/>
          <w:color w:val="1A1A1A"/>
          <w:sz w:val="22"/>
          <w:szCs w:val="22"/>
        </w:rPr>
        <w:t xml:space="preserve">More importantly, constitutional protection creates a different category of public discourse around any proposed change. Statutory amendments are routine politics; constitutional amendments are exceptional. The cultural weight of constitutional protection deters routine attempts to weaken the fund in ways that statutory protection cannot match.</w:t>
      </w:r>
    </w:p>
    <w:p>
      <w:pPr>
        <w:pStyle w:val="Heading2"/>
        <w:spacing w:after="160" w:before="360"/>
      </w:pPr>
      <w:r>
        <w:rPr>
          <w:rFonts w:ascii="Arial" w:cs="Arial" w:eastAsia="Arial" w:hAnsi="Arial"/>
          <w:b/>
          <w:bCs/>
          <w:color w:val="1F4E78"/>
          <w:sz w:val="28"/>
          <w:szCs w:val="28"/>
        </w:rPr>
        <w:t xml:space="preserve">Realistic Assessment of the Path</w:t>
      </w:r>
    </w:p>
    <w:p>
      <w:pPr>
        <w:spacing w:after="200" w:line="320"/>
        <w:jc w:val="both"/>
      </w:pPr>
      <w:r>
        <w:rPr>
          <w:rFonts w:ascii="Georgia" w:cs="Georgia" w:eastAsia="Georgia" w:hAnsi="Georgia"/>
          <w:color w:val="1A1A1A"/>
          <w:sz w:val="22"/>
          <w:szCs w:val="22"/>
        </w:rPr>
        <w:t xml:space="preserve">Constitutional amendment requires either two-thirds approval in both chambers of Congress followed by ratification by 38 state legislatures, or a constitutional convention called by 34 states followed by ratification by 38 states. Either path is politically extraordinary. The last successfully ratified amendment was the 27th Amendment (1992, originally proposed in 1789). Most proposed amendments fail.</w:t>
      </w:r>
    </w:p>
    <w:p>
      <w:pPr>
        <w:spacing w:after="200" w:line="320"/>
        <w:jc w:val="both"/>
      </w:pPr>
      <w:r>
        <w:rPr>
          <w:rFonts w:ascii="Georgia" w:cs="Georgia" w:eastAsia="Georgia" w:hAnsi="Georgia"/>
          <w:color w:val="1A1A1A"/>
          <w:sz w:val="22"/>
          <w:szCs w:val="22"/>
        </w:rPr>
        <w:t xml:space="preserve">The platform's honest position is that constitutional protection is desirable, would be transformative if achieved, and cannot be guaranteed. Pursuing it requires sustained political work over decades that runs in parallel with the platform's implementation. The platform's other governance layers must be sufficient to protect the fund without constitutional protection, because constitutional protection may never come.</w:t>
      </w:r>
    </w:p>
    <w:p>
      <w:pPr>
        <w:pStyle w:val="Heading2"/>
        <w:spacing w:after="160" w:before="360"/>
      </w:pPr>
      <w:r>
        <w:rPr>
          <w:rFonts w:ascii="Arial" w:cs="Arial" w:eastAsia="Arial" w:hAnsi="Arial"/>
          <w:b/>
          <w:bCs/>
          <w:color w:val="1F4E78"/>
          <w:sz w:val="28"/>
          <w:szCs w:val="28"/>
        </w:rPr>
        <w:t xml:space="preserve">Alternative: Treaty-Level International Commitment</w:t>
      </w:r>
    </w:p>
    <w:p>
      <w:pPr>
        <w:spacing w:after="200" w:line="320"/>
        <w:jc w:val="both"/>
      </w:pPr>
      <w:r>
        <w:rPr>
          <w:rFonts w:ascii="Georgia" w:cs="Georgia" w:eastAsia="Georgia" w:hAnsi="Georgia"/>
          <w:color w:val="1A1A1A"/>
          <w:sz w:val="22"/>
          <w:szCs w:val="22"/>
        </w:rPr>
        <w:t xml:space="preserve">A weaker but more achievable variant of constitutional protection is treaty-level international commitment. The fund's structure and protections could be embedded in a treaty with international financial institutions (the IMF, BIS, or similar) creating external accountability for fund governance. Treaty obligations are easier to enter than constitutional amendments and harder to exit than ordinary statutes, providing intermediate-strength protection. The treaty would not give foreign governments authority over fund operations; it would create international observation and mild diplomatic pressure against governance failures.</w:t>
      </w:r>
    </w:p>
    <w:p>
      <w:pPr>
        <w:spacing w:after="200" w:line="320"/>
        <w:jc w:val="both"/>
      </w:pPr>
      <w:r>
        <w:rPr>
          <w:rFonts w:ascii="Georgia" w:cs="Georgia" w:eastAsia="Georgia" w:hAnsi="Georgia"/>
          <w:color w:val="1A1A1A"/>
          <w:sz w:val="22"/>
          <w:szCs w:val="22"/>
        </w:rPr>
        <w:t xml:space="preserve">This alternative is unconventional and faces its own political resistance, but it represents a feasible path that constitutional amendment doesn't. The platform recommends parallel pursuit of both: working toward constitutional protection over decades while seeking treaty-level commitment as an interim protection that could be achieved within years.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“Constitutional protection is the strongest possible defense and may never come. The platform's other layers must be sufficient without it, while constitutional pursuit continues as a parallel project.”</w:t>
            </w:r>
          </w:p>
        </w:tc>
      </w:tr>
    </w:tbl>
    <w:p>
      <w:r>
        <w:br w:type="page"/>
      </w:r>
    </w:p>
    <w:p>
      <w:pPr>
        <w:pStyle w:val="Heading1"/>
        <w:spacing w:after="240" w:before="480"/>
      </w:pPr>
      <w:r>
        <w:rPr>
          <w:rFonts w:ascii="Arial" w:cs="Arial" w:eastAsia="Arial" w:hAnsi="Arial"/>
          <w:b/>
          <w:bCs/>
          <w:color w:val="1F4E78"/>
          <w:sz w:val="36"/>
          <w:szCs w:val="36"/>
        </w:rPr>
        <w:t xml:space="preserve">Failure Modes and Mitigations</w:t>
      </w:r>
    </w:p>
    <w:p>
      <w:pPr>
        <w:spacing w:after="240" w:line="340"/>
        <w:jc w:val="both"/>
      </w:pPr>
      <w:r>
        <w:rPr>
          <w:rFonts w:ascii="Georgia" w:cs="Georgia" w:eastAsia="Georgia" w:hAnsi="Georgia"/>
          <w:color w:val="1A1A1A"/>
          <w:sz w:val="24"/>
          <w:szCs w:val="24"/>
        </w:rPr>
        <w:t xml:space="preserve">Honest governance design requires identifying how the architecture could fail and what would happen when it did. This section maps the four most likely failure modes and articulates how the multi-layer architecture is designed to contain them.</w:t>
      </w:r>
    </w:p>
    <w:p>
      <w:pPr>
        <w:pStyle w:val="Heading2"/>
        <w:spacing w:after="160" w:before="360"/>
      </w:pPr>
      <w:r>
        <w:rPr>
          <w:rFonts w:ascii="Arial" w:cs="Arial" w:eastAsia="Arial" w:hAnsi="Arial"/>
          <w:b/>
          <w:bCs/>
          <w:color w:val="1F4E78"/>
          <w:sz w:val="28"/>
          <w:szCs w:val="28"/>
        </w:rPr>
        <w:t xml:space="preserve">Failure Mode 1: Crisis-Driven Raid</w:t>
      </w:r>
    </w:p>
    <w:p>
      <w:pPr>
        <w:spacing w:after="200" w:line="320"/>
        <w:jc w:val="both"/>
      </w:pPr>
      <w:r>
        <w:rPr>
          <w:rFonts w:ascii="Georgia" w:cs="Georgia" w:eastAsia="Georgia" w:hAnsi="Georgia"/>
          <w:color w:val="1A1A1A"/>
          <w:sz w:val="22"/>
          <w:szCs w:val="22"/>
        </w:rPr>
        <w:t xml:space="preserve">The most predictable failure mode is a fiscal crisis (war, depression, pandemic) that creates pressure to raid fund balances for general revenue. Historical precedent: Social Security Trust Fund balances have been routinely borrowed for general revenue purposes. The structural risk is that Congress passes emergency legislation overriding fund protections to address an immediate crisis.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the architecture resists this</w:t>
            </w:r>
          </w:p>
          <w:p>
            <w:pPr>
              <w:spacing w:after="100" w:line="280"/>
            </w:pPr>
            <w:r>
              <w:rPr>
                <w:rFonts w:ascii="Georgia" w:cs="Georgia" w:eastAsia="Georgia" w:hAnsi="Georgia"/>
                <w:color w:val="1A1A1A"/>
                <w:sz w:val="21"/>
                <w:szCs w:val="21"/>
              </w:rPr>
              <w:t xml:space="preserve">•  Layer 2 disbursement restrictions explicitly prohibit general-revenue uses, requiring supermajority approval to add new purposes.</w:t>
            </w:r>
          </w:p>
          <w:p>
            <w:pPr>
              <w:spacing w:after="100" w:line="280"/>
            </w:pPr>
            <w:r>
              <w:rPr>
                <w:rFonts w:ascii="Georgia" w:cs="Georgia" w:eastAsia="Georgia" w:hAnsi="Georgia"/>
                <w:color w:val="1A1A1A"/>
                <w:sz w:val="21"/>
                <w:szCs w:val="21"/>
              </w:rPr>
              <w:t xml:space="preserve">•  Anti-crisis exception drafting forecloses the easiest override mechanisms.</w:t>
            </w:r>
          </w:p>
          <w:p>
            <w:pPr>
              <w:spacing w:after="100" w:line="280"/>
            </w:pPr>
            <w:r>
              <w:rPr>
                <w:rFonts w:ascii="Georgia" w:cs="Georgia" w:eastAsia="Georgia" w:hAnsi="Georgia"/>
                <w:color w:val="1A1A1A"/>
                <w:sz w:val="21"/>
                <w:szCs w:val="21"/>
              </w:rPr>
              <w:t xml:space="preserve">•  Layer 1 split fund architecture means crisis legislation would have to specifically target each of five separate fund structures.</w:t>
            </w:r>
          </w:p>
          <w:p>
            <w:pPr>
              <w:spacing w:after="100" w:line="280"/>
            </w:pPr>
            <w:r>
              <w:rPr>
                <w:rFonts w:ascii="Georgia" w:cs="Georgia" w:eastAsia="Georgia" w:hAnsi="Georgia"/>
                <w:color w:val="1A1A1A"/>
                <w:sz w:val="21"/>
                <w:szCs w:val="21"/>
              </w:rPr>
              <w:t xml:space="preserve">•  Trust structure with beneficiary standing creates judicial review of any raid attempts.</w:t>
            </w:r>
          </w:p>
          <w:p>
            <w:pPr>
              <w:spacing w:after="100" w:line="280"/>
            </w:pPr>
            <w:r>
              <w:rPr>
                <w:rFonts w:ascii="Georgia" w:cs="Georgia" w:eastAsia="Georgia" w:hAnsi="Georgia"/>
                <w:color w:val="1A1A1A"/>
                <w:sz w:val="21"/>
                <w:szCs w:val="21"/>
              </w:rPr>
              <w:t xml:space="preserve">•  Sunlight requirements ensure raid attempts are visible at quarterly granularity, raising political costs.</w:t>
            </w:r>
          </w:p>
          <w:p>
            <w:pPr>
              <w:spacing w:after="100" w:line="280"/>
            </w:pPr>
            <w:r>
              <w:rPr>
                <w:rFonts w:ascii="Georgia" w:cs="Georgia" w:eastAsia="Georgia" w:hAnsi="Georgia"/>
                <w:color w:val="1A1A1A"/>
                <w:sz w:val="21"/>
                <w:szCs w:val="21"/>
              </w:rPr>
              <w:t xml:space="preserve">•  Constitutional protection (Layer 4) if achieved would foreclose statutory raids entirely.</w:t>
            </w:r>
          </w:p>
        </w:tc>
      </w:tr>
    </w:tbl>
    <w:p>
      <w:pPr>
        <w:spacing w:after="200" w:line="320"/>
        <w:jc w:val="both"/>
      </w:pPr>
      <w:r>
        <w:rPr>
          <w:rFonts w:ascii="Georgia" w:cs="Georgia" w:eastAsia="Georgia" w:hAnsi="Georgia"/>
          <w:color w:val="1A1A1A"/>
          <w:sz w:val="22"/>
          <w:szCs w:val="22"/>
        </w:rPr>
        <w:t xml:space="preserve">The honest acknowledgment: a sufficiently severe crisis could overcome any of these protections. War-time mobilization, for example, has historically overridden many ordinary legal protections. The architecture raises the cost and visibility of raids without making them impossible. The realistic goal is durability across normal political conditions and even moderate crises, not invulnerability to extreme situations.</w:t>
      </w:r>
    </w:p>
    <w:p>
      <w:pPr>
        <w:pStyle w:val="Heading2"/>
        <w:spacing w:after="160" w:before="360"/>
      </w:pPr>
      <w:r>
        <w:rPr>
          <w:rFonts w:ascii="Arial" w:cs="Arial" w:eastAsia="Arial" w:hAnsi="Arial"/>
          <w:b/>
          <w:bCs/>
          <w:color w:val="1F4E78"/>
          <w:sz w:val="28"/>
          <w:szCs w:val="28"/>
        </w:rPr>
        <w:t xml:space="preserve">Failure Mode 2: Gradual Capture</w:t>
      </w:r>
    </w:p>
    <w:p>
      <w:pPr>
        <w:spacing w:after="200" w:line="320"/>
        <w:jc w:val="both"/>
      </w:pPr>
      <w:r>
        <w:rPr>
          <w:rFonts w:ascii="Georgia" w:cs="Georgia" w:eastAsia="Georgia" w:hAnsi="Georgia"/>
          <w:color w:val="1A1A1A"/>
          <w:sz w:val="22"/>
          <w:szCs w:val="22"/>
        </w:rPr>
        <w:t xml:space="preserve">Slower than a crisis-driven raid but potentially more dangerous: gradual erosion through repeated small modifications, each individually not significant but cumulatively transformative. Historical precedent: regulatory capture across many federal agencies, drift in pension fund governance over decades.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the architecture resists this</w:t>
            </w:r>
          </w:p>
          <w:p>
            <w:pPr>
              <w:spacing w:after="100" w:line="280"/>
            </w:pPr>
            <w:r>
              <w:rPr>
                <w:rFonts w:ascii="Georgia" w:cs="Georgia" w:eastAsia="Georgia" w:hAnsi="Georgia"/>
                <w:color w:val="1A1A1A"/>
                <w:sz w:val="21"/>
                <w:szCs w:val="21"/>
              </w:rPr>
              <w:t xml:space="preserve">•  Layer 1 structural protections cannot be modified by accumulating small changes; the supermajority requirement applies to each individual modification.</w:t>
            </w:r>
          </w:p>
          <w:p>
            <w:pPr>
              <w:spacing w:after="100" w:line="280"/>
            </w:pPr>
            <w:r>
              <w:rPr>
                <w:rFonts w:ascii="Georgia" w:cs="Georgia" w:eastAsia="Georgia" w:hAnsi="Georgia"/>
                <w:color w:val="1A1A1A"/>
                <w:sz w:val="21"/>
                <w:szCs w:val="21"/>
              </w:rPr>
              <w:t xml:space="preserve">•  Layer 2 sunset provisions require periodic comprehensive review rather than allowing accumulated drift to become invisible.</w:t>
            </w:r>
          </w:p>
          <w:p>
            <w:pPr>
              <w:spacing w:after="100" w:line="280"/>
            </w:pPr>
            <w:r>
              <w:rPr>
                <w:rFonts w:ascii="Georgia" w:cs="Georgia" w:eastAsia="Georgia" w:hAnsi="Georgia"/>
                <w:color w:val="1A1A1A"/>
                <w:sz w:val="21"/>
                <w:szCs w:val="21"/>
              </w:rPr>
              <w:t xml:space="preserve">•  Layer 3 staggered board terms and multi-source appointments prevent any single political moment from packing the boards.</w:t>
            </w:r>
          </w:p>
          <w:p>
            <w:pPr>
              <w:spacing w:after="100" w:line="280"/>
            </w:pPr>
            <w:r>
              <w:rPr>
                <w:rFonts w:ascii="Georgia" w:cs="Georgia" w:eastAsia="Georgia" w:hAnsi="Georgia"/>
                <w:color w:val="1A1A1A"/>
                <w:sz w:val="21"/>
                <w:szCs w:val="21"/>
              </w:rPr>
              <w:t xml:space="preserve">•  Independent audit findings published quarterly create ongoing visibility into any creeping changes.</w:t>
            </w:r>
          </w:p>
          <w:p>
            <w:pPr>
              <w:spacing w:after="100" w:line="280"/>
            </w:pPr>
            <w:r>
              <w:rPr>
                <w:rFonts w:ascii="Georgia" w:cs="Georgia" w:eastAsia="Georgia" w:hAnsi="Georgia"/>
                <w:color w:val="1A1A1A"/>
                <w:sz w:val="21"/>
                <w:szCs w:val="21"/>
              </w:rPr>
              <w:t xml:space="preserve">•  Worker Councils provide ongoing democratic engagement that can flag drift before it accumulates.</w:t>
            </w:r>
          </w:p>
        </w:tc>
      </w:tr>
    </w:tbl>
    <w:p>
      <w:pPr>
        <w:spacing w:after="200" w:line="320"/>
        <w:jc w:val="both"/>
      </w:pPr>
      <w:r>
        <w:rPr>
          <w:rFonts w:ascii="Georgia" w:cs="Georgia" w:eastAsia="Georgia" w:hAnsi="Georgia"/>
          <w:color w:val="1A1A1A"/>
          <w:sz w:val="22"/>
          <w:szCs w:val="22"/>
        </w:rPr>
        <w:t xml:space="preserve">The honest acknowledgment: gradual capture is the failure mode constitutional protection would best address. Without constitutional protection, vigilance over decades is required, and vigilance fades. Worker Councils and beneficiary standing provide some institutional vigilance, but they cannot fully substitute for constitutional rigidity.</w:t>
      </w:r>
    </w:p>
    <w:p>
      <w:pPr>
        <w:pStyle w:val="Heading2"/>
        <w:spacing w:after="160" w:before="360"/>
      </w:pPr>
      <w:r>
        <w:rPr>
          <w:rFonts w:ascii="Arial" w:cs="Arial" w:eastAsia="Arial" w:hAnsi="Arial"/>
          <w:b/>
          <w:bCs/>
          <w:color w:val="1F4E78"/>
          <w:sz w:val="28"/>
          <w:szCs w:val="28"/>
        </w:rPr>
        <w:t xml:space="preserve">Failure Mode 3: Technological Capture</w:t>
      </w:r>
    </w:p>
    <w:p>
      <w:pPr>
        <w:spacing w:after="200" w:line="320"/>
        <w:jc w:val="both"/>
      </w:pPr>
      <w:r>
        <w:rPr>
          <w:rFonts w:ascii="Georgia" w:cs="Georgia" w:eastAsia="Georgia" w:hAnsi="Georgia"/>
          <w:color w:val="1A1A1A"/>
          <w:sz w:val="22"/>
          <w:szCs w:val="22"/>
        </w:rPr>
        <w:t xml:space="preserve">The fund's operations depend on technology platforms for index tracking, voting distribution, audit, and reporting. A single technology vendor or technology platform could become a capture vector. Historical precedent: vendor lock-in across many large institutional contracts.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the architecture resists this</w:t>
            </w:r>
          </w:p>
          <w:p>
            <w:pPr>
              <w:spacing w:after="100" w:line="280"/>
            </w:pPr>
            <w:r>
              <w:rPr>
                <w:rFonts w:ascii="Georgia" w:cs="Georgia" w:eastAsia="Georgia" w:hAnsi="Georgia"/>
                <w:color w:val="1A1A1A"/>
                <w:sz w:val="21"/>
                <w:szCs w:val="21"/>
              </w:rPr>
              <w:t xml:space="preserve">•  Layer 1 mandate requires three independent index providers operating in parallel with cross-checking.</w:t>
            </w:r>
          </w:p>
          <w:p>
            <w:pPr>
              <w:spacing w:after="100" w:line="280"/>
            </w:pPr>
            <w:r>
              <w:rPr>
                <w:rFonts w:ascii="Georgia" w:cs="Georgia" w:eastAsia="Georgia" w:hAnsi="Georgia"/>
                <w:color w:val="1A1A1A"/>
                <w:sz w:val="21"/>
                <w:szCs w:val="21"/>
              </w:rPr>
              <w:t xml:space="preserve">•  Voting platform must be open-source with multi-vendor implementations to prevent any single vendor from controlling worker ballots.</w:t>
            </w:r>
          </w:p>
          <w:p>
            <w:pPr>
              <w:spacing w:after="100" w:line="280"/>
            </w:pPr>
            <w:r>
              <w:rPr>
                <w:rFonts w:ascii="Georgia" w:cs="Georgia" w:eastAsia="Georgia" w:hAnsi="Georgia"/>
                <w:color w:val="1A1A1A"/>
                <w:sz w:val="21"/>
                <w:szCs w:val="21"/>
              </w:rPr>
              <w:t xml:space="preserve">•  Audit firms rotate every 5 years, preventing any single audit firm from becoming the institutional knowledge bottleneck.</w:t>
            </w:r>
          </w:p>
          <w:p>
            <w:pPr>
              <w:spacing w:after="100" w:line="280"/>
            </w:pPr>
            <w:r>
              <w:rPr>
                <w:rFonts w:ascii="Georgia" w:cs="Georgia" w:eastAsia="Georgia" w:hAnsi="Georgia"/>
                <w:color w:val="1A1A1A"/>
                <w:sz w:val="21"/>
                <w:szCs w:val="21"/>
              </w:rPr>
              <w:t xml:space="preserve">•  All technology systems must have open APIs and exportable data, so any vendor can be replaced without operational disruption.</w:t>
            </w:r>
          </w:p>
          <w:p>
            <w:pPr>
              <w:spacing w:after="100" w:line="280"/>
            </w:pPr>
            <w:r>
              <w:rPr>
                <w:rFonts w:ascii="Georgia" w:cs="Georgia" w:eastAsia="Georgia" w:hAnsi="Georgia"/>
                <w:color w:val="1A1A1A"/>
                <w:sz w:val="21"/>
                <w:szCs w:val="21"/>
              </w:rPr>
              <w:t xml:space="preserve">•  Public quarterly reporting includes technology vendor information, making capture attempts visible.</w:t>
            </w:r>
          </w:p>
        </w:tc>
      </w:tr>
    </w:tbl>
    <w:p>
      <w:pPr>
        <w:pStyle w:val="Heading2"/>
        <w:spacing w:after="160" w:before="360"/>
      </w:pPr>
      <w:r>
        <w:rPr>
          <w:rFonts w:ascii="Arial" w:cs="Arial" w:eastAsia="Arial" w:hAnsi="Arial"/>
          <w:b/>
          <w:bCs/>
          <w:color w:val="1F4E78"/>
          <w:sz w:val="28"/>
          <w:szCs w:val="28"/>
        </w:rPr>
        <w:t xml:space="preserve">Failure Mode 4: Political Polarization Erosion</w:t>
      </w:r>
    </w:p>
    <w:p>
      <w:pPr>
        <w:spacing w:after="200" w:line="320"/>
        <w:jc w:val="both"/>
      </w:pPr>
      <w:r>
        <w:rPr>
          <w:rFonts w:ascii="Georgia" w:cs="Georgia" w:eastAsia="Georgia" w:hAnsi="Georgia"/>
          <w:color w:val="1A1A1A"/>
          <w:sz w:val="22"/>
          <w:szCs w:val="22"/>
        </w:rPr>
        <w:t xml:space="preserve">The architecture's protections depend on supermajority requirements that assume minimum political functionality. If political polarization reaches a level where no supermajorities are achievable on any question, the fund's protections become brittle in different ways: they prevent destructive changes, but they also prevent constructive evolution. Historical precedent: the recurring debt-ceiling brinksmanship that has prevented routine governance.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the architecture resists this</w:t>
            </w:r>
          </w:p>
          <w:p>
            <w:pPr>
              <w:spacing w:after="100" w:line="280"/>
            </w:pPr>
            <w:r>
              <w:rPr>
                <w:rFonts w:ascii="Georgia" w:cs="Georgia" w:eastAsia="Georgia" w:hAnsi="Georgia"/>
                <w:color w:val="1A1A1A"/>
                <w:sz w:val="21"/>
                <w:szCs w:val="21"/>
              </w:rPr>
              <w:t xml:space="preserve">•  Default-continuation rules in sunset provisions mean failed reauthorization extends existing protections rather than terminating them.</w:t>
            </w:r>
          </w:p>
          <w:p>
            <w:pPr>
              <w:spacing w:after="100" w:line="280"/>
            </w:pPr>
            <w:r>
              <w:rPr>
                <w:rFonts w:ascii="Georgia" w:cs="Georgia" w:eastAsia="Georgia" w:hAnsi="Georgia"/>
                <w:color w:val="1A1A1A"/>
                <w:sz w:val="21"/>
                <w:szCs w:val="21"/>
              </w:rPr>
              <w:t xml:space="preserve">•  Worker-elected board seats provide democratic legitimacy that doesn't depend on Congressional action.</w:t>
            </w:r>
          </w:p>
          <w:p>
            <w:pPr>
              <w:spacing w:after="100" w:line="280"/>
            </w:pPr>
            <w:r>
              <w:rPr>
                <w:rFonts w:ascii="Georgia" w:cs="Georgia" w:eastAsia="Georgia" w:hAnsi="Georgia"/>
                <w:color w:val="1A1A1A"/>
                <w:sz w:val="21"/>
                <w:szCs w:val="21"/>
              </w:rPr>
              <w:t xml:space="preserve">•  Trust structure with beneficiary standing creates judicial enforcement that operates independent of legislative dysfunction.</w:t>
            </w:r>
          </w:p>
          <w:p>
            <w:pPr>
              <w:spacing w:after="100" w:line="280"/>
            </w:pPr>
            <w:r>
              <w:rPr>
                <w:rFonts w:ascii="Georgia" w:cs="Georgia" w:eastAsia="Georgia" w:hAnsi="Georgia"/>
                <w:color w:val="1A1A1A"/>
                <w:sz w:val="21"/>
                <w:szCs w:val="21"/>
              </w:rPr>
              <w:t xml:space="preserve">•  International treaty commitments (if achieved) provide external accountability that operates independent of domestic political function.</w:t>
            </w:r>
          </w:p>
          <w:p>
            <w:pPr>
              <w:spacing w:after="100" w:line="280"/>
            </w:pPr>
            <w:r>
              <w:rPr>
                <w:rFonts w:ascii="Georgia" w:cs="Georgia" w:eastAsia="Georgia" w:hAnsi="Georgia"/>
                <w:color w:val="1A1A1A"/>
                <w:sz w:val="21"/>
                <w:szCs w:val="21"/>
              </w:rPr>
              <w:t xml:space="preserve">•  Multi-fund structure means individual fund operations continue even if Congressional governance is paralyzed.</w:t>
            </w:r>
          </w:p>
        </w:tc>
      </w:tr>
    </w:tbl>
    <w:p>
      <w:pPr>
        <w:spacing w:after="200" w:line="320"/>
        <w:jc w:val="both"/>
      </w:pPr>
      <w:r>
        <w:rPr>
          <w:rFonts w:ascii="Georgia" w:cs="Georgia" w:eastAsia="Georgia" w:hAnsi="Georgia"/>
          <w:color w:val="1A1A1A"/>
          <w:sz w:val="22"/>
          <w:szCs w:val="22"/>
        </w:rPr>
        <w:t xml:space="preserve">The honest acknowledgment: extreme political polarization is hard to design for. The architecture maintains operational integrity through dysfunction better than most institutions, but it cannot generate the political consensus needed for ongoing reform. Long-term political polarization beyond what we currently observe could put any institutional design at risk.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“Crisis-driven raids, gradual capture, technological vulnerability, political polarization erosion. Each failure mode is real. The architecture is designed to contain them, not to eliminate them.”</w:t>
            </w:r>
          </w:p>
        </w:tc>
      </w:tr>
    </w:tbl>
    <w:p>
      <w:r>
        <w:br w:type="page"/>
      </w:r>
    </w:p>
    <w:p>
      <w:pPr>
        <w:pStyle w:val="Heading1"/>
        <w:spacing w:after="240" w:before="480"/>
      </w:pPr>
      <w:r>
        <w:rPr>
          <w:rFonts w:ascii="Arial" w:cs="Arial" w:eastAsia="Arial" w:hAnsi="Arial"/>
          <w:b/>
          <w:bCs/>
          <w:color w:val="1F4E78"/>
          <w:sz w:val="36"/>
          <w:szCs w:val="36"/>
        </w:rPr>
        <w:t xml:space="preserve">Implementation Sequence</w:t>
      </w:r>
    </w:p>
    <w:p>
      <w:pPr>
        <w:spacing w:after="240" w:line="340"/>
        <w:jc w:val="both"/>
      </w:pPr>
      <w:r>
        <w:rPr>
          <w:rFonts w:ascii="Georgia" w:cs="Georgia" w:eastAsia="Georgia" w:hAnsi="Georgia"/>
          <w:color w:val="1A1A1A"/>
          <w:sz w:val="24"/>
          <w:szCs w:val="24"/>
        </w:rPr>
        <w:t xml:space="preserve">Governance design must be implemented in the right sequence to be effective. Building the structural protections after the fund is large is dramatically harder than building them before. This section articulates the sequence.</w:t>
      </w:r>
    </w:p>
    <w:p>
      <w:pPr>
        <w:pStyle w:val="Heading2"/>
        <w:spacing w:after="160" w:before="360"/>
      </w:pPr>
      <w:r>
        <w:rPr>
          <w:rFonts w:ascii="Arial" w:cs="Arial" w:eastAsia="Arial" w:hAnsi="Arial"/>
          <w:b/>
          <w:bCs/>
          <w:color w:val="1F4E78"/>
          <w:sz w:val="28"/>
          <w:szCs w:val="28"/>
        </w:rPr>
        <w:t xml:space="preserve">Phase 1 (Years 1-3): Foundation</w:t>
      </w:r>
    </w:p>
    <w:p>
      <w:pPr>
        <w:spacing w:after="200" w:line="320"/>
        <w:jc w:val="both"/>
      </w:pPr>
      <w:r>
        <w:rPr>
          <w:rFonts w:ascii="Georgia" w:cs="Georgia" w:eastAsia="Georgia" w:hAnsi="Georgia"/>
          <w:color w:val="1A1A1A"/>
          <w:sz w:val="22"/>
          <w:szCs w:val="22"/>
        </w:rPr>
        <w:t xml:space="preserve">During the platform's pre-enactment phase, the legal foundation is drafted and passed: founding legislation establishing the five-fund structure, supermajority requirements, trust structure, disbursement restrictions, board composition rules, and audit requirements. The legislation is detailed and lengthy because retrofitting protections later is dramatically harder. This is the moment when the structural protections are politically achievable because the fund doesn't yet have the resources to attract serious capture attempts.</w:t>
      </w:r>
    </w:p>
    <w:p>
      <w:pPr>
        <w:pStyle w:val="Heading2"/>
        <w:spacing w:after="160" w:before="360"/>
      </w:pPr>
      <w:r>
        <w:rPr>
          <w:rFonts w:ascii="Arial" w:cs="Arial" w:eastAsia="Arial" w:hAnsi="Arial"/>
          <w:b/>
          <w:bCs/>
          <w:color w:val="1F4E78"/>
          <w:sz w:val="28"/>
          <w:szCs w:val="28"/>
        </w:rPr>
        <w:t xml:space="preserve">Phase 2 (Years 4-12): Build-Up</w:t>
      </w:r>
    </w:p>
    <w:p>
      <w:pPr>
        <w:spacing w:after="200" w:line="320"/>
        <w:jc w:val="both"/>
      </w:pPr>
      <w:r>
        <w:rPr>
          <w:rFonts w:ascii="Georgia" w:cs="Georgia" w:eastAsia="Georgia" w:hAnsi="Georgia"/>
          <w:color w:val="1A1A1A"/>
          <w:sz w:val="22"/>
          <w:szCs w:val="22"/>
        </w:rPr>
        <w:t xml:space="preserve">During the build-up phase, the funds accumulate balances through ordinary contributions while maintaining strict adherence to passive index investing and rule-based voting. Boards are populated through the multi-source selection process. Independent audit and Inspector General offices are established. Worker Councils are elected. Quarterly reporting begins from the first quarter of operation. The fund is small enough during this period that capture attempts have low payoffs, but the institutional patterns established during this phase set precedents for the long term.</w:t>
      </w:r>
    </w:p>
    <w:p>
      <w:pPr>
        <w:pStyle w:val="Heading2"/>
        <w:spacing w:after="160" w:before="360"/>
      </w:pPr>
      <w:r>
        <w:rPr>
          <w:rFonts w:ascii="Arial" w:cs="Arial" w:eastAsia="Arial" w:hAnsi="Arial"/>
          <w:b/>
          <w:bCs/>
          <w:color w:val="1F4E78"/>
          <w:sz w:val="28"/>
          <w:szCs w:val="28"/>
        </w:rPr>
        <w:t xml:space="preserve">Phase 3 (Years 12-30): Maturation</w:t>
      </w:r>
    </w:p>
    <w:p>
      <w:pPr>
        <w:spacing w:after="200" w:line="320"/>
        <w:jc w:val="both"/>
      </w:pPr>
      <w:r>
        <w:rPr>
          <w:rFonts w:ascii="Georgia" w:cs="Georgia" w:eastAsia="Georgia" w:hAnsi="Georgia"/>
          <w:color w:val="1A1A1A"/>
          <w:sz w:val="22"/>
          <w:szCs w:val="22"/>
        </w:rPr>
        <w:t xml:space="preserve">As balances grow and political attention rises, the established institutional patterns become the protection. Workers begin participating in voting through the distributed voting platform. Treaty-level international commitments are pursued during this phase. Constitutional amendment campaign (if pursued) operates in parallel with normal fund operations. Capture attempts begin to occur and are tested against the architecture's protections. Honest assessment of what's working and what's not informs adjustments through the supermajority process.</w:t>
      </w:r>
    </w:p>
    <w:p>
      <w:pPr>
        <w:pStyle w:val="Heading2"/>
        <w:spacing w:after="160" w:before="360"/>
      </w:pPr>
      <w:r>
        <w:rPr>
          <w:rFonts w:ascii="Arial" w:cs="Arial" w:eastAsia="Arial" w:hAnsi="Arial"/>
          <w:b/>
          <w:bCs/>
          <w:color w:val="1F4E78"/>
          <w:sz w:val="28"/>
          <w:szCs w:val="28"/>
        </w:rPr>
        <w:t xml:space="preserve">Phase 4 (Years 30-60): Steady State</w:t>
      </w:r>
    </w:p>
    <w:p>
      <w:pPr>
        <w:spacing w:after="200" w:line="320"/>
        <w:jc w:val="both"/>
      </w:pPr>
      <w:r>
        <w:rPr>
          <w:rFonts w:ascii="Georgia" w:cs="Georgia" w:eastAsia="Georgia" w:hAnsi="Georgia"/>
          <w:color w:val="1A1A1A"/>
          <w:sz w:val="22"/>
          <w:szCs w:val="22"/>
        </w:rPr>
        <w:t xml:space="preserve">The fund reaches the scale at which its political impact would be transformative. Constitutional amendment may or may not have succeeded by this point. Treaty-level commitments are in place. Worker engagement with the fund is normalized. The institution faces ongoing pressure from political attempts at modification, which are absorbed and contained through the architecture. The fund disburses according to its mandate while accumulating balances above current obligations as buffer for stress scenarios identified in the Combined Reform Model's stress-test scenarios.</w:t>
      </w:r>
    </w:p>
    <w:p>
      <w:pPr>
        <w:pStyle w:val="Heading2"/>
        <w:spacing w:after="160" w:before="360"/>
      </w:pPr>
      <w:r>
        <w:rPr>
          <w:rFonts w:ascii="Arial" w:cs="Arial" w:eastAsia="Arial" w:hAnsi="Arial"/>
          <w:b/>
          <w:bCs/>
          <w:color w:val="1F4E78"/>
          <w:sz w:val="28"/>
          <w:szCs w:val="28"/>
        </w:rPr>
        <w:t xml:space="preserve">Phase 5 (Years 60+): Permanent Institution</w:t>
      </w:r>
    </w:p>
    <w:p>
      <w:pPr>
        <w:spacing w:after="200" w:line="320"/>
        <w:jc w:val="both"/>
      </w:pPr>
      <w:r>
        <w:rPr>
          <w:rFonts w:ascii="Georgia" w:cs="Georgia" w:eastAsia="Georgia" w:hAnsi="Georgia"/>
          <w:color w:val="1A1A1A"/>
          <w:sz w:val="22"/>
          <w:szCs w:val="22"/>
        </w:rPr>
        <w:t xml:space="preserve">After 60 years, the fund has either succeeded as a permanent institution or has been compromised through one of the failure modes. The architecture is designed to maximize the probability of the former, but the honest acknowledgment is that 60-year institutional success is rare. The architecture's design includes the recognition that even partial success (30-50 years of effective operation before erosion) would be transformative compared to current US institutional outcomes.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“Build the protections before the fund is large enough to attract serious capture attempts. Maintain institutional patterns through build-up. Test the architecture during maturation. Accept that 60-year success is the goal, not the certainty.”</w:t>
            </w:r>
          </w:p>
        </w:tc>
      </w:tr>
    </w:tbl>
    <w:p>
      <w:r>
        <w:br w:type="page"/>
      </w:r>
    </w:p>
    <w:p>
      <w:pPr>
        <w:pStyle w:val="Heading1"/>
        <w:spacing w:after="240" w:before="480"/>
      </w:pPr>
      <w:r>
        <w:rPr>
          <w:rFonts w:ascii="Arial" w:cs="Arial" w:eastAsia="Arial" w:hAnsi="Arial"/>
          <w:b/>
          <w:bCs/>
          <w:color w:val="1F4E78"/>
          <w:sz w:val="36"/>
          <w:szCs w:val="36"/>
        </w:rPr>
        <w:t>Federal Reserve and Monetary Policy Interaction</w:t>
      </w:r>
    </w:p>
    <w:p>
      <w:pPr>
        <w:spacing w:after="240" w:line="340"/>
        <w:jc w:val="both"/>
      </w:pPr>
      <w:r>
        <w:rPr>
          <w:rFonts w:ascii="Georgia" w:cs="Georgia" w:eastAsia="Georgia" w:hAnsi="Georgia"/>
          <w:color w:val="1A1A1A"/>
          <w:sz w:val="24"/>
          <w:szCs w:val="24"/>
        </w:rPr>
        <w:t>This section articulates the platform's response framework for Federal Reserve interaction questions. Substantive resolution requires credentialed monetary economist consultation that the platform does not currently have access to (Open Issues Registry RESEARCH-1). What this section provides is the platform's articulation of the relevant questions, what reasonable bounds exist based on publicly available research and historical analogues, and how the platform would respond if expert review produced different findings.</w:t>
      </w:r>
    </w:p>
    <w:p>
      <w:pPr>
        <w:pStyle w:val="Heading2"/>
        <w:spacing w:after="160" w:before="360"/>
      </w:pPr>
      <w:r>
        <w:rPr>
          <w:rFonts w:ascii="Arial" w:cs="Arial" w:eastAsia="Arial" w:hAnsi="Arial"/>
          <w:b/>
          <w:bCs/>
          <w:color w:val="1F4E78"/>
          <w:sz w:val="28"/>
          <w:szCs w:val="28"/>
        </w:rPr>
        <w:t>What the Platform Commits To</w:t>
      </w:r>
    </w:p>
    <w:p>
      <w:pPr>
        <w:spacing w:after="240" w:line="340"/>
        <w:jc w:val="both"/>
      </w:pPr>
      <w:r>
        <w:rPr>
          <w:rFonts w:ascii="Georgia" w:cs="Georgia" w:eastAsia="Georgia" w:hAnsi="Georgia"/>
          <w:color w:val="1A1A1A"/>
          <w:sz w:val="24"/>
          <w:szCs w:val="24"/>
        </w:rPr>
        <w:t>The platform commits to approximately $4.2 trillion per year in new federal spending at mature steady state (Year 30+) and to a Sovereign Fund accumulating to approximately $122 trillion over 60 years at the base-case 6% real return assumption. Both commitments have monetary policy implications. The spending side affects aggregate demand. The Fund's contribution side affects national savings. The Fund's portfolio composition (estimated to reach a substantial fraction of US equity market capitalization at maturity) affects asset prices and price discovery. The Fund's disbursement timing affects fiscal policy stance over decades.</w:t>
      </w:r>
    </w:p>
    <w:p>
      <w:pPr>
        <w:pStyle w:val="Heading2"/>
        <w:spacing w:after="160" w:before="360"/>
      </w:pPr>
      <w:r>
        <w:rPr>
          <w:rFonts w:ascii="Arial" w:cs="Arial" w:eastAsia="Arial" w:hAnsi="Arial"/>
          <w:b/>
          <w:bCs/>
          <w:color w:val="1F4E78"/>
          <w:sz w:val="28"/>
          <w:szCs w:val="28"/>
        </w:rPr>
        <w:t>What Publicly Available Research Suggests</w:t>
      </w:r>
    </w:p>
    <w:p>
      <w:pPr>
        <w:spacing w:after="240" w:line="340"/>
        <w:jc w:val="both"/>
      </w:pPr>
      <w:r>
        <w:rPr>
          <w:rFonts w:ascii="Georgia" w:cs="Georgia" w:eastAsia="Georgia" w:hAnsi="Georgia"/>
          <w:color w:val="1A1A1A"/>
          <w:sz w:val="24"/>
          <w:szCs w:val="24"/>
        </w:rPr>
        <w:t>Norway's Government Pension Fund Global is the closest large-scale international analogue. As of 2024 it holds approximately $1.5 trillion (roughly 1.5 percent of global equity markets), is governed under a fiscal rule limiting annual transfers to roughly 3 percent of fund value, and operates under explicit ethical investment guidelines set by Parliament. Norway's central bank manages the Fund's investments but does not use the Fund for monetary policy operations. The separation of central bank monetary operations from Sovereign Fund investment management is reasonably well-established as best practice in international experience. The Alaska Permanent Fund (smaller scale, approximately $80 billion) operates under similar separation.</w:t>
      </w:r>
    </w:p>
    <w:p>
      <w:pPr>
        <w:spacing w:after="240" w:line="340"/>
        <w:jc w:val="both"/>
      </w:pPr>
      <w:r>
        <w:rPr>
          <w:rFonts w:ascii="Georgia" w:cs="Georgia" w:eastAsia="Georgia" w:hAnsi="Georgia"/>
          <w:color w:val="1A1A1A"/>
          <w:sz w:val="24"/>
          <w:szCs w:val="24"/>
        </w:rPr>
        <w:t>Macroeconomic theory suggests several first-order effects of the platform's deployment: (1) fiscal expansion of $4.2 trillion per year (~13 percent of GDP at current size) would normally produce inflationary pressure, but the platform's funding mechanisms (payroll-based contributions, wage-floor-derived income tax base, FIF (Federal Infrastructure Fee) revenue replacement) substantially offset this; (2) the Fund's accumulation represents national savings increase, which tends to reduce long-term real interest rates; (3) the Fund's equity market participation at scale reaches levels at which corporate governance externalities become significant — this is a Norway-style governance question more than a monetary policy question. Federal Reserve response would depend on which effects dominate empirically, which is precisely what expert modeling would determine.</w:t>
      </w:r>
    </w:p>
    <w:p>
      <w:pPr>
        <w:pStyle w:val="Heading2"/>
        <w:spacing w:after="160" w:before="360"/>
      </w:pPr>
      <w:r>
        <w:rPr>
          <w:rFonts w:ascii="Arial" w:cs="Arial" w:eastAsia="Arial" w:hAnsi="Arial"/>
          <w:b/>
          <w:bCs/>
          <w:color w:val="1F4E78"/>
          <w:sz w:val="28"/>
          <w:szCs w:val="28"/>
        </w:rPr>
        <w:t>Platform Response Framework Under Different Findings</w:t>
      </w:r>
    </w:p>
    <w:p>
      <w:pPr>
        <w:spacing w:after="240" w:line="340"/>
        <w:jc w:val="both"/>
      </w:pPr>
      <w:r>
        <w:rPr>
          <w:rFonts w:ascii="Georgia" w:cs="Georgia" w:eastAsia="Georgia" w:hAnsi="Georgia"/>
          <w:color w:val="1A1A1A"/>
          <w:sz w:val="24"/>
          <w:szCs w:val="24"/>
        </w:rPr>
        <w:t>If expert review finds the platform is net-inflationary at deployment: the platform's deployment timeline (30+ year buildout) provides the Federal Reserve with substantial time to adjust policy stance incrementally rather than respond to a sudden fiscal shock. The platform's revenue-side mechanisms can be calibrated upward if needed to maintain fiscal balance. Wage floor introduction is phased over multiple years, with the Refundable Bridge Credit absorbing most household-level transition effects. None of these adjustments compromise the platform's architectural integrity.</w:t>
      </w:r>
    </w:p>
    <w:p>
      <w:pPr>
        <w:spacing w:after="240" w:line="340"/>
        <w:jc w:val="both"/>
      </w:pPr>
      <w:r>
        <w:rPr>
          <w:rFonts w:ascii="Georgia" w:cs="Georgia" w:eastAsia="Georgia" w:hAnsi="Georgia"/>
          <w:color w:val="1A1A1A"/>
          <w:sz w:val="24"/>
          <w:szCs w:val="24"/>
        </w:rPr>
        <w:t>If expert review finds the platform substantially reduces long-term real interest rates through national savings increase: this is generally a desirable outcome (lower borrowing costs for federal debt, households, and businesses) but creates challenges for Federal Reserve monetary policy at the zero lower bound and for pension fund return assumptions. The platform's response would be to engage with the Fed on coordination protocols (precedent: Treasury-Fed coordination during QE programs). The Fund's investment policy could be calibrated to include a higher fixed-income allocation if needed to absorb the marginal saving impact.</w:t>
      </w:r>
    </w:p>
    <w:p>
      <w:pPr>
        <w:spacing w:after="240" w:line="340"/>
        <w:jc w:val="both"/>
      </w:pPr>
      <w:r>
        <w:rPr>
          <w:rFonts w:ascii="Georgia" w:cs="Georgia" w:eastAsia="Georgia" w:hAnsi="Georgia"/>
          <w:color w:val="1A1A1A"/>
          <w:sz w:val="24"/>
          <w:szCs w:val="24"/>
        </w:rPr>
        <w:t>If expert review finds the Fund's equity market participation creates price-discovery distortions at scale: the Fund's investment policy can be calibrated to limit single-issuer ownership concentration, to maintain passive index tracking rather than active selection, and to include explicit non-voting share preference. Norway's Fund follows many of these practices. The platform's Sovereign Fund Governance Design (this document) already commits to multi-fund architecture and transparent investment policy; specific portfolio composition rules would emerge from expert review without restructuring the architecture.</w:t>
      </w:r>
    </w:p>
    <w:p>
      <w:pPr>
        <w:pStyle w:val="Heading2"/>
        <w:spacing w:after="160" w:before="360"/>
      </w:pPr>
      <w:r>
        <w:rPr>
          <w:rFonts w:ascii="Arial" w:cs="Arial" w:eastAsia="Arial" w:hAnsi="Arial"/>
          <w:b/>
          <w:bCs/>
          <w:color w:val="1F4E78"/>
          <w:sz w:val="28"/>
          <w:szCs w:val="28"/>
        </w:rPr>
        <w:t>What Still Requires Expert Review</w:t>
      </w:r>
    </w:p>
    <w:p>
      <w:pPr>
        <w:spacing w:after="240" w:line="340"/>
        <w:jc w:val="both"/>
      </w:pPr>
      <w:r>
        <w:rPr>
          <w:rFonts w:ascii="Georgia" w:cs="Georgia" w:eastAsia="Georgia" w:hAnsi="Georgia"/>
          <w:color w:val="1A1A1A"/>
          <w:sz w:val="24"/>
          <w:szCs w:val="24"/>
        </w:rPr>
        <w:t>The actual quantitative magnitude of each effect under specific deployment scenarios. Calibration of monetary policy response to fiscal stance changes of this scale. Specific portfolio composition rules to manage equity market participation effects. Coordination protocols between Treasury, Federal Reserve, and Sovereign Fund managers. International capital flow effects of the Fund's portfolio decisions. None of these analyses can be produced without credentialed monetary economist engagement and macroeconomic modeling tools the platform does not currently include. RESEARCH-1's status is updated to reflect that the platform's response framework is now documented but full mitigation requires external expert engagement.</w:t>
      </w:r>
    </w:p>
    <w:p>
      <w:pPr>
        <w:spacing w:after="200" w:line="320"/>
        <w:jc w:val="both"/>
      </w:pPr>
      <w:r>
        <w:rPr>
          <w:rFonts w:ascii="Georgia" w:cs="Georgia" w:eastAsia="Georgia" w:hAnsi="Georgia"/>
          <w:color w:val="1A1A1A"/>
          <w:sz w:val="22"/>
          <w:szCs w:val="22"/>
        </w:rPr>
        <w:t xml:space="preserve">The integrity and adjustment provisions added in Layers 2 and 3 carry their own open questions. The automatic balancing mechanism’s corridor width, observation window, and correction-step size require fiscal and actuarial calibration before they can be trusted to stabilize rather than amplify; the conflict-of-interest and revolving-door thresholds and cooling-off periods require review by government-ethics and securities-law practitioners; and the ethics council’s exclusion criteria and independence safeguards require review by people who have administered such a body in practice. These are recorded together as an open item in the platform’s tracked-issues registry.</w:t>
      </w:r>
    </w:p>
    <w:p>
      <w:pPr>
        <w:pStyle w:val="Heading1"/>
        <w:spacing w:after="240" w:before="480"/>
      </w:pPr>
      <w:r>
        <w:rPr>
          <w:rFonts w:ascii="Arial" w:cs="Arial" w:eastAsia="Arial" w:hAnsi="Arial"/>
          <w:b/>
          <w:bCs/>
          <w:color w:val="1F4E78"/>
          <w:sz w:val="36"/>
          <w:szCs w:val="36"/>
        </w:rPr>
        <w:t xml:space="preserve">What This Document Establishes</w:t>
      </w:r>
    </w:p>
    <w:p>
      <w:pPr>
        <w:spacing w:after="240" w:line="340"/>
        <w:jc w:val="both"/>
      </w:pPr>
      <w:r>
        <w:rPr>
          <w:rFonts w:ascii="Georgia" w:cs="Georgia" w:eastAsia="Georgia" w:hAnsi="Georgia"/>
          <w:color w:val="1A1A1A"/>
          <w:sz w:val="24"/>
          <w:szCs w:val="24"/>
        </w:rPr>
        <w:t xml:space="preserve">This document responds to the most serious vulnerability identified in Gemini's external review of v1.8: the Sovereign Fund governance trap. The response is a multi-layer architecture that draws on what works in existing public funds, what has failed historically, and what governance structures provide durable independence in American institutional design.</w:t>
      </w:r>
    </w:p>
    <w:p>
      <w:pPr>
        <w:pStyle w:val="Heading2"/>
        <w:spacing w:after="160" w:before="360"/>
      </w:pPr>
      <w:r>
        <w:rPr>
          <w:rFonts w:ascii="Arial" w:cs="Arial" w:eastAsia="Arial" w:hAnsi="Arial"/>
          <w:b/>
          <w:bCs/>
          <w:color w:val="1F4E78"/>
          <w:sz w:val="28"/>
          <w:szCs w:val="28"/>
        </w:rPr>
        <w:t xml:space="preserve">Honest Acknowledgments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this design does and doesn't claim</w:t>
            </w:r>
          </w:p>
          <w:p>
            <w:pPr>
              <w:spacing w:after="100" w:line="280"/>
            </w:pPr>
            <w:r>
              <w:rPr>
                <w:rFonts w:ascii="Georgia" w:cs="Georgia" w:eastAsia="Georgia" w:hAnsi="Georgia"/>
                <w:color w:val="1A1A1A"/>
                <w:sz w:val="21"/>
                <w:szCs w:val="21"/>
              </w:rPr>
              <w:t xml:space="preserve">•  The architecture is more durable than any single mechanism. It is not invulnerable.</w:t>
            </w:r>
          </w:p>
          <w:p>
            <w:pPr>
              <w:spacing w:after="100" w:line="280"/>
            </w:pPr>
            <w:r>
              <w:rPr>
                <w:rFonts w:ascii="Georgia" w:cs="Georgia" w:eastAsia="Georgia" w:hAnsi="Georgia"/>
                <w:color w:val="1A1A1A"/>
                <w:sz w:val="21"/>
                <w:szCs w:val="21"/>
              </w:rPr>
              <w:t xml:space="preserve">•  Constitutional protection is the strongest possible defense and may never be achieved. The other layers must be sufficient without it.</w:t>
            </w:r>
          </w:p>
          <w:p>
            <w:pPr>
              <w:spacing w:after="100" w:line="280"/>
            </w:pPr>
            <w:r>
              <w:rPr>
                <w:rFonts w:ascii="Georgia" w:cs="Georgia" w:eastAsia="Georgia" w:hAnsi="Georgia"/>
                <w:color w:val="1A1A1A"/>
                <w:sz w:val="21"/>
                <w:szCs w:val="21"/>
              </w:rPr>
              <w:t xml:space="preserve">•  Even with all four layers, gradual capture over decades remains possible. Vigilance and worker engagement are required ongoing inputs, not one-time investments.</w:t>
            </w:r>
          </w:p>
          <w:p>
            <w:pPr>
              <w:spacing w:after="100" w:line="280"/>
            </w:pPr>
            <w:r>
              <w:rPr>
                <w:rFonts w:ascii="Georgia" w:cs="Georgia" w:eastAsia="Georgia" w:hAnsi="Georgia"/>
                <w:color w:val="1A1A1A"/>
                <w:sz w:val="21"/>
                <w:szCs w:val="21"/>
              </w:rPr>
              <w:t xml:space="preserve">•  The architecture is more complex than current public fund governance. The complexity is the price of durability across sixty years of American politics.</w:t>
            </w:r>
          </w:p>
          <w:p>
            <w:pPr>
              <w:spacing w:after="100" w:line="280"/>
            </w:pPr>
            <w:r>
              <w:rPr>
                <w:rFonts w:ascii="Georgia" w:cs="Georgia" w:eastAsia="Georgia" w:hAnsi="Georgia"/>
                <w:color w:val="1A1A1A"/>
                <w:sz w:val="21"/>
                <w:szCs w:val="21"/>
              </w:rPr>
              <w:t xml:space="preserve">•  The implementation sequence matters. Retrofitting protections to an already-large fund is dramatically harder than embedding them at founding.</w:t>
            </w:r>
          </w:p>
          <w:p>
            <w:pPr>
              <w:spacing w:after="100" w:line="280"/>
            </w:pPr>
            <w:r>
              <w:rPr>
                <w:rFonts w:ascii="Georgia" w:cs="Georgia" w:eastAsia="Georgia" w:hAnsi="Georgia"/>
                <w:color w:val="1A1A1A"/>
                <w:sz w:val="21"/>
                <w:szCs w:val="21"/>
              </w:rPr>
              <w:t xml:space="preserve">•  Even successful 30-50 year institutional operation would be transformative compared to typical US institutional outcomes. The architecture is designed for ambitious success, not perfect immortality.</w:t>
            </w:r>
          </w:p>
        </w:tc>
      </w:tr>
    </w:tbl>
    <w:p>
      <w:pPr>
        <w:pStyle w:val="Heading2"/>
        <w:spacing w:after="160" w:before="360"/>
      </w:pPr>
      <w:r>
        <w:rPr>
          <w:rFonts w:ascii="Arial" w:cs="Arial" w:eastAsia="Arial" w:hAnsi="Arial"/>
          <w:b/>
          <w:bCs/>
          <w:color w:val="1F4E78"/>
          <w:sz w:val="28"/>
          <w:szCs w:val="28"/>
        </w:rPr>
        <w:t xml:space="preserve">What This Means for the Platform</w:t>
      </w:r>
    </w:p>
    <w:p>
      <w:pPr>
        <w:spacing w:after="200" w:line="320"/>
        <w:jc w:val="both"/>
      </w:pPr>
      <w:r>
        <w:rPr>
          <w:rFonts w:ascii="Georgia" w:cs="Georgia" w:eastAsia="Georgia" w:hAnsi="Georgia"/>
          <w:color w:val="1A1A1A"/>
          <w:sz w:val="22"/>
          <w:szCs w:val="22"/>
        </w:rPr>
        <w:t xml:space="preserve">The Sovereign Fund's mathematical foundation produces $122 trillion in fund balances by Year 60. The governance architecture in this document is what makes that mathematical foundation politically sustainable. Without governance protection, the fund either never reaches that scale (because pre-existing political pressure prevents accumulation) or reaches that scale and is captured before fulfilling its purpose.</w:t>
      </w:r>
    </w:p>
    <w:p>
      <w:pPr>
        <w:spacing w:after="200" w:line="320"/>
        <w:jc w:val="both"/>
      </w:pPr>
      <w:r>
        <w:rPr>
          <w:rFonts w:ascii="Georgia" w:cs="Georgia" w:eastAsia="Georgia" w:hAnsi="Georgia"/>
          <w:color w:val="1A1A1A"/>
          <w:sz w:val="22"/>
          <w:szCs w:val="22"/>
        </w:rPr>
        <w:t xml:space="preserve">The platform's commitment is that this governance architecture is implementable, not just theoretically sound. The architecture draws on existing successful examples (Norway's GPFG operational structure, Federal Reserve independence model, federal court structure for trust enforcement) rather than requiring institutional innovations the US has never executed before. The most novel element — distributed voting back to workers — is operationally challenging but not technologically impossible.</w:t>
      </w:r>
    </w:p>
    <w:p>
      <w:pPr>
        <w:pStyle w:val="Heading2"/>
        <w:spacing w:after="160" w:before="360"/>
      </w:pPr>
      <w:r>
        <w:rPr>
          <w:rFonts w:ascii="Arial" w:cs="Arial" w:eastAsia="Arial" w:hAnsi="Arial"/>
          <w:b/>
          <w:bCs/>
          <w:color w:val="1F4E78"/>
          <w:sz w:val="28"/>
          <w:szCs w:val="28"/>
        </w:rPr>
        <w:t xml:space="preserve">What the Platform Asks of Readers</w:t>
      </w:r>
    </w:p>
    <w:p>
      <w:pPr>
        <w:spacing w:after="200" w:line="320"/>
        <w:jc w:val="both"/>
      </w:pPr>
      <w:r>
        <w:rPr>
          <w:rFonts w:ascii="Georgia" w:cs="Georgia" w:eastAsia="Georgia" w:hAnsi="Georgia"/>
          <w:color w:val="1A1A1A"/>
          <w:sz w:val="22"/>
          <w:szCs w:val="22"/>
        </w:rPr>
        <w:t xml:space="preserve">This document is the platform's substantive response to the most serious vulnerability external reviewers can identify. Readers who find the response inadequate are invited to engage with specific elements (the structural design, the statutory drafting requirements, the institutional protections, the constitutional aspirations) rather than dismissing the broader proposal. Readers who find the response substantive but worry about specific failure modes are invited to identify additional mitigations the architecture should incorporate.</w:t>
      </w:r>
    </w:p>
    <w:p>
      <w:pPr>
        <w:spacing w:after="200" w:line="320"/>
        <w:jc w:val="both"/>
      </w:pPr>
      <w:r>
        <w:rPr>
          <w:rFonts w:ascii="Georgia" w:cs="Georgia" w:eastAsia="Georgia" w:hAnsi="Georgia"/>
          <w:color w:val="1A1A1A"/>
          <w:sz w:val="22"/>
          <w:szCs w:val="22"/>
        </w:rPr>
        <w:t xml:space="preserve">The platform's broader pattern continues: take serious critique seriously, articulate specific responses, acknowledge what remains unresolved, identify what additional work would help. This document is one instance of that pattern. Subsequent external reviews will produce additional instances.</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math produces $122 trillion. The governance produces durable independence across sixty years. The architecture is what makes the math politically sustainable. The honest acknowledgment is that the architecture is ambitious, not certain.”</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SF Governance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Sovereign Fund Governance Design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Sovereign Fund Governance Design</dc:title>
  <dc:creator>Jason Robertson</dc:creator>
  <cp:lastModifiedBy>Un-named</cp:lastModifiedBy>
  <cp:revision>1</cp:revision>
  <dcterms:created xsi:type="dcterms:W3CDTF">2026-05-04T18:07:53.484Z</dcterms:created>
  <dcterms:modified xsi:type="dcterms:W3CDTF">2026-05-04T18:07:53.494Z</dcterms:modified>
</cp:coreProperties>
</file>

<file path=docProps/custom.xml><?xml version="1.0" encoding="utf-8"?>
<Properties xmlns="http://schemas.openxmlformats.org/officeDocument/2006/custom-properties" xmlns:vt="http://schemas.openxmlformats.org/officeDocument/2006/docPropsVTypes"/>
</file>