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Sources and Derivation Convention</w:t>
      </w:r>
    </w:p>
    <w:p>
      <w:r>
        <w:t>Canonical empirical sources catalog and platform-wide derivation convention</w:t>
      </w:r>
    </w:p>
    <w:p>
      <w:r>
        <w:t>v1.0  ·  Created May 7, 2026 for v3.2.8 (mitigation of Comprehensive Verification Report Dimension 5 finding: documents could benefit from explicit source citations on derivational claims)  ·  Jason Robertson  ·  Ohio  ·  2026</w:t>
      </w:r>
    </w:p>
    <w:p>
      <w:pPr>
        <w:pStyle w:val="Heading1"/>
      </w:pPr>
      <w:r>
        <w:t>Purpose</w:t>
      </w:r>
    </w:p>
    <w:p>
      <w:r>
        <w:t>This document catalogs the canonical empirical sources that platform analytical documents draw from, and establishes the platform's sourcing convention so readers can trace numerical claims back to their underlying sources. The Comprehensive Verification Report at v3.2.7 found that approximately forty percent of numerical claims in analytical documents do not have source-indicator language within two hundred fifty characters, but inspection showed most are derivational (e.g., a claim like '$145 billion equals $1,608 multiplied by 90 million filers' is calculation from sourced inputs rather than a separately citable empirical claim). This document addresses that finding by making the platform's sourcing taxonomy explicit and providing a single canonical reference that all analytical documents can point at.</w:t>
      </w:r>
    </w:p>
    <w:p>
      <w:pPr>
        <w:pStyle w:val="Heading1"/>
      </w:pPr>
      <w:r>
        <w:t>Sourcing Convention</w:t>
      </w:r>
    </w:p>
    <w:p>
      <w:r>
        <w:t>The platform's analytical documents follow this convention: numerical claims are either (a) directly cited to a primary source at the point of use, (b) derived through explicit calculation from inputs cited elsewhere in the same document, or (c) derived from the canonical sources cataloged below and referenced at the top of each analytical document. Derivational claims of the form '$X equals Y times Z' or 'X percent of population Y equals N people' inherit their sourcing from the inputs to the calculation; the calculation itself is the source. Readers can verify any platform claim by tracing it back through one of these three paths.</w:t>
      </w:r>
    </w:p>
    <w:p>
      <w:r>
        <w:t>Each analytical document includes a Sources baseline statement near its top identifying which entries from this catalog are relevant to that document's claims. The catalog below enumerates the canonical sources and identifies which documents draw from each.</w:t>
      </w:r>
    </w:p>
    <w:p>
      <w:pPr>
        <w:pStyle w:val="Heading1"/>
      </w:pPr>
      <w:r>
        <w:t>Fixed Analytical Baseline</w:t>
      </w:r>
    </w:p>
    <w:p>
      <w:pPr/>
      <w:r>
        <w:t>The platform's quantitative claims are anchored to a fixed analytical baseline — a specific vintage of each external source, held constant so that figures across documents stay mutually consistent and reproducible. Two sources warrant explicit note. For healthcare, the model is anchored to CMS National Health Expenditure data for 2023 (the $14,612 per-capita baseline and the reduction-target derivation); the 2024 release shows per-capita spending has since risen to $15,474 (18.0 percent of GDP), which the platform reports as the current cost trend while retaining the 2023 figure as the conservative model baseline, so the reduction and savings estimates are if anything understated. For the wage floor, the anchors use Bureau of Labor Statistics Occupational Employment and Wage Statistics data, rolled forward to May 2025 (the most recent release); the wage figures remain illustrative magnitudes, as a production implementation would pull the full OEWS catalog at the metropolitan-area level. The platform adopts newer releases only through deliberate, versioned roll-forward passes that recompute or re-anchor every dependent figure together, rather than piecemeal, so the baseline never drifts mid-analysis. The complete vintage list for every source appears in the Canonical Sources Catalog below.</w:t>
      </w:r>
    </w:p>
    <w:p>
      <w:pPr>
        <w:pStyle w:val="Heading1"/>
      </w:pPr>
      <w:r>
        <w:t>Canonical Sources Catalog</w:t>
      </w:r>
    </w:p>
    <w:p>
      <w:pPr>
        <w:pStyle w:val="Heading2"/>
      </w:pPr>
      <w:r>
        <w:t>Federal Tax and Income Sources</w:t>
      </w:r>
    </w:p>
    <w:p>
      <w:r>
        <w:t>Internal Revenue Service (IRS) Statistics of Income (SOI) 2023 baseline: source for individual filer counts, adjusted gross income distributions, and tax-bracket population data. Used in: Federal Income Tax Revenue Modified Architecture; Combined Reform Model income tax sheets; Federal Fiscal Impact Analysis tax-revenue stream; What This Means For You household examples; Per Citizen Benefits and Costs.</w:t>
      </w:r>
    </w:p>
    <w:p>
      <w:r>
        <w:t>IRS Form 1040 instructions and Publication 17 (2024 tax year): source for current standard deductions ($14,600 single / $29,200 MFJ / $21,900 HOH), tax brackets, child tax credit ($2,000 per qualifying child), and other current-system parameters used as the comparison baseline. Used in: We The People Calculator; Federal Income Tax Revenue Modified Architecture; Narrative Example 100K Tax Comparison.</w:t>
      </w:r>
    </w:p>
    <w:p>
      <w:r>
        <w:t>U.S. Treasury and Joint Committee on Taxation revenue projections: source for current federal individual income tax aggregate revenue (approximately $2.4 trillion annually). Used in: Federal Income Tax Revenue Modified Architecture; Wage Floors As Tax Architecture; Federal Fiscal Impact Analysis.</w:t>
      </w:r>
    </w:p>
    <w:p>
      <w:pPr>
        <w:pStyle w:val="Heading2"/>
      </w:pPr>
      <w:r>
        <w:t>Healthcare Sources</w:t>
      </w:r>
    </w:p>
    <w:p>
      <w:r>
        <w:t>Centers for Medicare &amp; Medicaid Services (Centers for Medicare and Medicaid Services (CMS)) National Health Expenditure (NHE) data 2023: source for U.S. healthcare spending per capita ($14,612 baseline used throughout the platform), aggregate healthcare spending, and spending breakdowns by payer. Used in: Healthcare Transition Detailed Plan; Pillar Four Universal Healthcare Access; Federal Fiscal Impact Analysis healthcare stream; Per Citizen Benefits and Costs; Path To Reality.</w:t>
      </w:r>
      <w:r>
        <w:t xml:space="preserve"> The 2024 NHE release ($15,474 per capita, 18.0 percent of GDP) is reported as the current cost trend, with the 2023 figure retained as the model baseline.</w:t>
      </w:r>
    </w:p>
    <w:p>
      <w:r>
        <w:t>Kaiser Family Foundation (KFF) employer health benefits surveys: source for average employer-sponsored insurance premiums and employee contributions. Used in: We The People Calculator current-system premium baseline; What This Means For You; Healthcare Transition Detailed Plan.</w:t>
      </w:r>
    </w:p>
    <w:p>
      <w:pPr>
        <w:pStyle w:val="Heading2"/>
      </w:pPr>
      <w:r>
        <w:t>Demographic and Population Sources</w:t>
      </w:r>
    </w:p>
    <w:p>
      <w:r>
        <w:t>U.S. Census Bureau population estimates 2023: source for total U.S. population (~334 million), household counts, and demographic breakdowns by age and household composition. Used in: per-capita calculations throughout; Federal Fiscal Impact Analysis denominators; Per Citizen Benefits and Costs.</w:t>
      </w:r>
    </w:p>
    <w:p>
      <w:r>
        <w:t>Bureau of Labor Statistics (BLS) Current Population Survey and wage data 2023-2024: source for employed population (~158 million), wage distributions by occupation, hours worked, and labor force participation rates. Used in: Empirical Wage Floors substantiation; Gender Pay Gap analysis; Combined Reform Model labor inputs; Disemployment sensitivity analysis.</w:t>
      </w:r>
    </w:p>
    <w:p>
      <w:pPr>
        <w:pStyle w:val="Heading2"/>
      </w:pPr>
      <w:r>
        <w:t>Sovereign Fund and Investment Sources</w:t>
      </w:r>
    </w:p>
    <w:p>
      <w:r>
        <w:t>Norway Government Pension Fund Global (GPF-G) annual reports: comparative source for sovereign wealth fund management practices, real returns achieved over multi-decade horizons, and governance structures. Used in: Sovereign Fund Governance Design; How This Was Built; Combined Reform Model sovereign fund stream.</w:t>
      </w:r>
    </w:p>
    <w:p>
      <w:r>
        <w:t>Social Security Administration (SSA) Trustees Reports 2023-2024: source for Social Security trust fund actuarial deficit (the $63 trillion 75-year horizon figure cited throughout), demographic projections, and trust fund depletion timelines. Used in: Community Contribution Plan White Paper; The Founding Stake; Two Paths Compared; Federal Fiscal Impact Analysis.</w:t>
      </w:r>
    </w:p>
    <w:p>
      <w:pPr>
        <w:pStyle w:val="Heading2"/>
      </w:pPr>
      <w:r>
        <w:t>Infrastructure and Civic Sources</w:t>
      </w:r>
    </w:p>
    <w:p>
      <w:r>
        <w:t>American Society of Civil Engineers (ASCE) Infrastructure Report Card 2025: source for infrastructure investment gap estimates (the $1.2 trillion highways and bridges figure, $140 billion transit gap, and other infrastructure shortfalls). Used in: Physical Civic Infrastructure Substantiation; Federal Infrastructure Fee; Civic Infrastructure Architectural Framing.</w:t>
      </w:r>
    </w:p>
    <w:p>
      <w:r>
        <w:t>Federal Communications Commission (FCC) and Bureau of Industry and Security broadband data: source for current residential broadband market revenue (approximately $111 billion annual, 120 million subscribers, average $77 per month). Used in: Free Universal Broadband Cost Analysis; Universal Broadband Access Substantiation.</w:t>
      </w:r>
    </w:p>
    <w:p>
      <w:r>
        <w:t>Federal Trade Commission (FTC) Consumer Sentinel Network identity-theft reports: source for identity-theft cost estimates (the $8 billion credit account fraud figure, $3 billion government benefits fraud figure, and aggregate consumer harm). Used in: Identity Theft Reduction; Modernize Civic Engagement Integrated Argument.</w:t>
      </w:r>
    </w:p>
    <w:p>
      <w:pPr>
        <w:pStyle w:val="Heading2"/>
      </w:pPr>
      <w:r>
        <w:t>Family and Care Sources</w:t>
      </w:r>
    </w:p>
    <w:p>
      <w:r>
        <w:t>FAMILY Act modeling and state paid family leave program data (California PFL, New Jersey FLI, New York PFL, Washington PFL): source for paid family leave cost projections, utilization rates, and contribution rate calibration. Used in: Pillar Eight Universal Paid Family Time; Federal Fiscal Impact Analysis Pillar Eight stream.</w:t>
      </w:r>
    </w:p>
    <w:p>
      <w:r>
        <w:t>Quebec $7-day childcare program evaluations and U.S. childcare cost surveys: source for universal childcare cost projections at U.S. scale and the $180 billion aggregate cost figure. Used in: Universal Childcare Pillar; Federal Fiscal Impact Analysis childcare stream.</w:t>
      </w:r>
    </w:p>
    <w:p>
      <w:r>
        <w:t>Long-term care expenditure data from CMS and AARP/Genworth Cost of Care surveys: source for the $475 billion aggregate long-term care expenditure figure. Used in: Aging In Place Implications.</w:t>
      </w:r>
    </w:p>
    <w:p>
      <w:pPr>
        <w:pStyle w:val="Heading2"/>
      </w:pPr>
      <w:r>
        <w:t>Internal Platform Documents As Source</w:t>
      </w:r>
    </w:p>
    <w:p>
      <w:pPr/>
      <w:r>
        <w:t>U.S. Government Accountability Office (GAO) federal IT reports (GAO-25-107795; GAO-23-106821): source for federal information technology spending (more than $100 billion per year, of which approximately 80 percent is operations and maintenance of existing and legacy systems).</w:t>
      </w:r>
    </w:p>
    <w:p>
      <w:pPr/>
      <w:r>
        <w:t>Congressional Budget Office (CBO) and Congressional Research Service (CRS R48472) Highway Trust Fund analyses: source for federal surface-transportation funding (Highway Trust Fund highway-account outlays of approximately $50 billion in FY2023, primarily fuel-tax revenue supplemented by general-fund transfers).</w:t>
      </w:r>
    </w:p>
    <w:p>
      <w:pPr/>
      <w:r>
        <w:t>U.S. Digital Service 2024 Impact Report: source for USDS impact metrics (18.25 million Veterans served and VA trust at 79.3 percent; a 130 percent increase in Affordable Connectivity Program enrollment to 23 million households; an estimated $285 million in projected five-year Social Security Administration infrastructure savings; and 749 million COVID-19 tests delivered).</w:t>
      </w:r>
    </w:p>
    <w:p>
      <w:pPr/>
      <w:r>
        <w:t>Congressional Research Service (CRS IN12493), Executive Order 14158 (January 20, 2025), and Office of Personnel Management statements (November 2025): source for the U.S. Digital Service history and its 2025 reorganization as the U.S. DOGE Service and subsequent loss of centralized status.</w:t>
      </w:r>
    </w:p>
    <w:p>
      <w:r>
        <w:t>The Combined Reform Model (04_Combined_Reform_Model.xlsx) is itself the canonical source for many platform claims, including the $122 trillion 60-year sovereign fund corpus projection, the $62.5 trillion 4-percent-return parallel scenario, and the year-by-year fiscal trajectories. The model is sourced from the inputs cataloged above; downstream documents that cite the model are inheriting that sourcing chain.</w:t>
      </w:r>
    </w:p>
    <w:p>
      <w:r>
        <w:t>The Federal Fiscal Impact Analysis (05_Federal_Fiscal_Impact_Analysis.docx) consolidates the platform's fiscal claims and serves as the canonical source for aggregate-level pillar costs ($180 billion childcare, $200 billion mental health, $40-60 billion paid family time, etc.). Downstream documents that reference these aggregate figures are inheriting the FFIA's sourcing chain.</w:t>
      </w:r>
    </w:p>
    <w:p>
      <w:r>
        <w:t>The Open Issues Registry (09_Open_Issues_Registry.docx) explicitly catalogs every empirical claim that requires external credentialed validation as RESEARCH-1 through RESEARCH-8 plus PERSONA-SIG-3, 4, 5. Claims tracked in those Section 47 entries are explicitly NOT certified by the platform; they are documented as positions requiring validation through the External Engagement Plan and Academic Outreach Letter Templates.</w:t>
      </w:r>
    </w:p>
    <w:p>
      <w:pPr>
        <w:pStyle w:val="Heading1"/>
      </w:pPr>
      <w:r>
        <w:t xml:space="preserve">Assumptions Register</w:t>
      </w:r>
    </w:p>
    <w:p>
      <w:r>
        <w:t xml:space="preserve">Every claim in this platform rests on one of two kinds of input, and this section makes the boundary between them explicit. Empirically-anchored inputs are drawn from referenced real-world sources — for example, the wage floor from the Bureau of Labor Statistics Occupational Employment and Wage Statistics program and national health expenditure from the Centers for Medicare and Medicaid Services — and are reproducible from those sources. Modeling assumptions are the forward-looking values the analysis must adopt where no single observed figure settles the question: rates of return, behavioral responses, long-run cost and benefit projections, and the trip points of the rollout’s circuit breakers. A sixty-year fiscal projection cannot be free of the second kind; the discipline this platform holds itself to is not the absence of assumptions but their full disclosure, bounding, and external validation.</w:t>
      </w:r>
    </w:p>
    <w:p>
      <w:r>
        <w:t xml:space="preserve">To keep that disclosure honest and in one place, the platform maintains a machine-readable assumptions registry as the single source of truth for each modeling assumption. Every entry records the assumption’s current value or scenario, its plausible range or distribution where one is known, the source or basis for that range, the tracked-issue identifier under which it awaits validation, and the downstream claims that depend on it. An audit check verifies the registry’s internal integrity and that each entry points to a real open item.</w:t>
      </w:r>
    </w:p>
    <w:p>
      <w:r>
        <w:t xml:space="preserve">The registry’s present state is itself a transparency statement. Most of the platform’s quantitative assumptions are recorded as awaiting credentialed external calibration rather than as settled figures, and the single most consequential of them is the Sovereign Fund’s long-run real rate of return, on which the sixty-year fund path and every bridge-financed pillar’s feasibility depend. The platform does not assert calibrated values it has not earned; the registry shows exactly where that line falls.</w:t>
      </w:r>
    </w:p>
    <w:p>
      <w:r>
        <w:t xml:space="preserve">Each assumption also records the role it plays in the platform’s uncertainty analysis: a driver that is sampled directly from a calibrated distribution, a sensitivity parameter swept across a literature-informed range, an output whose distribution is propagated from upstream inputs rather than assumed, or a policy threshold that is calibrated against the driver distributions rather than guessed. The forthcoming stochastic analysis reads its distributions from the registry so that its assumptions are auditable rather than improvised. For the full surface of open design questions that are not parametric assumptions — unspecified mechanisms, depth-of-analysis gaps, and similar items — see the Open Issues Registry, which this registry cross-references rather than duplicates.</w:t>
      </w:r>
    </w:p>
    <w:p>
      <w:pPr>
        <w:pStyle w:val="Heading1"/>
      </w:pPr>
      <w:r>
        <w:t>Acknowledged Limits</w:t>
      </w:r>
    </w:p>
    <w:p>
      <w:r>
        <w:t>This convention establishes a sourcing taxonomy for derivational claims; it does not by itself validate the empirical defensibility of those claims. Full empirical defensibility validation requires credentialed external review. The platform's Open Issues Registry tracks the specific items requiring such review under RESEARCH-1 through RESEARCH-8 plus PERSONA-SIG items. The External Engagement Plan documents engagement targets, reviewer profiles, and specific questions for each item. Until that external review is conducted and integrated, claims in the platform should be read with the understanding that they reflect rigorous internal analysis from cataloged sources but have not been validated by credentialed third-party review.</w:t>
      </w:r>
    </w:p>
    <w:p>
      <w:r>
        <w:t>Within those limits, this convention enables readers to trace any platform numerical claim through one of three paths: direct citation at the point of use, explicit derivation from inputs cited in the same document, or inheritance from the canonical sources cataloged here. A claim that does not trace through one of these paths is itself a finding requiring documentation; readers encountering such claims should report them so they can be documented in the Open Issues Registry.</w:t>
      </w:r>
    </w:p>
    <w:p>
      <w:pPr>
        <w:pStyle w:val="Heading1"/>
      </w:pPr>
      <w:r>
        <w:t>Cross-References</w:t>
      </w:r>
    </w:p>
    <w:p>
      <w:r>
        <w:t>This document is the operational output of the Comprehensive Verification Report's Dimension 5 finding (recorded in Section 95 of the Open Issues Registry). It is referenced from the Sources baseline statements added in v3.2.8 to the platform's analytical documents. It complements the External Engagement Plan, which documents the path to credentialed external validation of empirical claims, and the Open Issues Registry's RESEARCH and PERSONA-SIG entries, which specify which claims explicitly require such validation.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