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100"/>
        <w:jc w:val="center"/>
      </w:pPr>
      <w:r>
        <w:rPr>
          <w:rFonts w:ascii="Arial" w:cs="Arial" w:eastAsia="Arial" w:hAnsi="Arial"/>
          <w:b/>
          <w:bCs/>
          <w:color w:val="1F4E78"/>
          <w:sz w:val="46"/>
          <w:szCs w:val="46"/>
        </w:rPr>
        <w:t>SECTION 8 HOUSING AND</w:t>
      </w:r>
    </w:p>
    <w:p>
      <w:pPr>
        <w:spacing w:after="200"/>
        <w:jc w:val="center"/>
      </w:pPr>
      <w:r>
        <w:rPr>
          <w:rFonts w:ascii="Arial" w:cs="Arial" w:eastAsia="Arial" w:hAnsi="Arial"/>
          <w:b/>
          <w:bCs/>
          <w:color w:val="1F4E78"/>
          <w:sz w:val="46"/>
          <w:szCs w:val="46"/>
        </w:rPr>
        <w:t>FEDERAL HOUSING ASSISTANCE</w:t>
      </w:r>
    </w:p>
    <w:p>
      <w:pPr>
        <w:spacing w:after="200"/>
        <w:jc w:val="center"/>
      </w:pPr>
      <w:r>
        <w:rPr>
          <w:rFonts w:ascii="Arial" w:cs="Arial" w:eastAsia="Arial" w:hAnsi="Arial"/>
          <w:i/>
          <w:iCs/>
          <w:color w:val="C00000"/>
          <w:sz w:val="28"/>
          <w:szCs w:val="28"/>
        </w:rPr>
        <w:t>How the Platform Interacts with HUD (Department of Housing and Urban Development)'s Voucher Program and Federal Housing Programs</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4"/>
          <w:szCs w:val="24"/>
        </w:rPr>
        <w:t>How does the platform's universal childcare affect Section 8 income calculations?</w:t>
      </w:r>
    </w:p>
    <w:p>
      <w:pPr>
        <w:spacing w:after="200"/>
        <w:jc w:val="center"/>
      </w:pPr>
      <w:r>
        <w:rPr>
          <w:rFonts w:ascii="Georgia" w:cs="Georgia" w:eastAsia="Georgia" w:hAnsi="Georgia"/>
          <w:i/>
          <w:iCs/>
          <w:color w:val="1A1A1A"/>
          <w:sz w:val="24"/>
          <w:szCs w:val="24"/>
        </w:rPr>
        <w:t>Should the platform expand voucher access given Sovereign Fund growth?</w:t>
      </w:r>
    </w:p>
    <w:p>
      <w:pPr>
        <w:spacing w:after="1200"/>
        <w:jc w:val="center"/>
      </w:pPr>
      <w:r>
        <w:rPr>
          <w:rFonts w:ascii="Georgia" w:cs="Georgia" w:eastAsia="Georgia" w:hAnsi="Georgia"/>
          <w:i/>
          <w:iCs/>
          <w:color w:val="1A1A1A"/>
          <w:sz w:val="24"/>
          <w:szCs w:val="24"/>
        </w:rPr>
        <w:t>How do platform commitments reach Section 8 households versus those on the waitlist?</w:t>
      </w:r>
    </w:p>
    <w:p>
      <w:pPr>
        <w:spacing w:before="1200"/>
      </w:pPr>
      <w:r>
        <w:t xml:space="preserve"/>
      </w:r>
    </w:p>
    <w:p>
      <w:pPr>
        <w:spacing w:after="80"/>
        <w:jc w:val="center"/>
      </w:pPr>
      <w:r>
        <w:rPr>
          <w:rFonts w:ascii="Georgia" w:cs="Georgia" w:eastAsia="Georgia" w:hAnsi="Georgia"/>
          <w:i/>
          <w:iCs/>
          <w:color w:val="595959"/>
          <w:sz w:val="22"/>
          <w:szCs w:val="22"/>
        </w:rPr>
        <w:t xml:space="preserve">An Analytical Framing Document</w:t>
      </w:r>
    </w:p>
    <w:p>
      <w:pPr>
        <w:spacing w:after="80"/>
        <w:jc w:val="center"/>
      </w:pPr>
      <w:r>
        <w:rPr>
          <w:rFonts w:ascii="Georgia" w:cs="Georgia" w:eastAsia="Georgia" w:hAnsi="Georgia"/>
          <w:b/>
          <w:bCs/>
          <w:color w:val="1A1A1A"/>
          <w:sz w:val="24"/>
          <w:szCs w:val="24"/>
        </w:rPr>
        <w:t xml:space="preserve">Jason Robertson</w:t>
      </w:r>
    </w:p>
    <w:p>
      <w:pPr>
        <w:spacing w:before="480"/>
        <w:jc w:val="center"/>
      </w:pPr>
      <w:r>
        <w:rPr>
          <w:rFonts w:ascii="Arial" w:cs="Arial" w:eastAsia="Arial" w:hAnsi="Arial"/>
          <w:i/>
          <w:iCs/>
          <w:color w:val="595959"/>
          <w:sz w:val="16"/>
          <w:szCs w:val="16"/>
        </w:rPr>
        <w:t>v1.1  ·  Created May 5, 2026 for v2.17  ·  Updated May 6, 2026 for v2.30.29 (RESEARCH-2 housing-market interaction response framework)</w:t>
      </w:r>
    </w:p>
    <w:p>
      <w:pPr>
        <w:jc w:val="center"/>
      </w:pPr>
      <w:r>
        <w:rPr>
          <w:rFonts w:ascii="Georgia" w:cs="Georgia" w:eastAsia="Georgia" w:hAnsi="Georgia"/>
          <w:color w:val="595959"/>
          <w:sz w:val="20"/>
          <w:szCs w:val="20"/>
        </w:rPr>
        <w:t xml:space="preserve">Ohio  ·  2026</w:t>
      </w:r>
    </w:p>
    <w:p>
      <w:pPr>
        <w:spacing w:after="200"/>
        <w:jc w:val="center"/>
      </w:pPr>
      <w:r>
        <w:rPr>
          <w:rFonts w:ascii="Arial" w:cs="Arial" w:eastAsia="Arial" w:hAnsi="Arial"/>
          <w:i/>
          <w:iCs/>
          <w:color w:val="C00000"/>
          <w:sz w:val="28"/>
          <w:szCs w:val="28"/>
        </w:rPr>
        <w:t>Sources Baseline. Numerical claims in this document derive from the canonical sources cataloged in 05_Sources_And_Derivation_Convention.docx, including: HUD program data for Section 8 voucher counts, public housing inventory, and housing assistance expenditures; Census Bureau population data for affected-population denominators.</w:t>
      </w:r>
    </w:p>
    <w:p>
      <w:pPr>
        <w:pStyle w:val="Heading1"/>
      </w:pPr>
      <w:r>
        <w:t>The Question This Document Addresses</w:t>
      </w:r>
    </w:p>
    <w:p>
      <w:pPr>
        <w:pStyle w:val="Normal"/>
        <w:spacing w:after="240" w:before="480"/>
      </w:pPr>
      <w:r>
        <w:rPr>
          <w:rFonts w:ascii="Arial" w:cs="Arial" w:eastAsia="Arial" w:hAnsi="Arial"/>
          <w:b/>
          <w:bCs/>
          <w:color w:val="1F4E78"/>
          <w:sz w:val="36"/>
          <w:szCs w:val="36"/>
        </w:rPr>
        <w:t>The federal Housing Choice Voucher Program (commonly called Section 8) provides rental assistance to approximately 5 million households, including roughly 2.3 million households using tenant-based vouchers and additional households in project-based voucher arrangements. The program operates through approximately 2,200 Public Housing Agencies (PHAs) administering federal funds at the local level. Tenants generally pay approximately 30 percent of adjusted income toward rent; the voucher covers the difference up to a Fair Market Rent payment standard set by HUD for each metropolitan area.</w:t>
      </w:r>
    </w:p>
    <w:p>
      <w:pPr>
        <w:spacing w:after="240" w:line="340"/>
        <w:jc w:val="both"/>
      </w:pPr>
      <w:r>
        <w:rPr>
          <w:rFonts w:ascii="Georgia" w:cs="Georgia" w:eastAsia="Georgia" w:hAnsi="Georgia"/>
          <w:color w:val="1A1A1A"/>
          <w:sz w:val="24"/>
          <w:szCs w:val="24"/>
        </w:rPr>
        <w:t>Section 8 is the largest federal rental assistance program by households served, but it serves only a fraction of the income-eligible population. Approximately 17 to 18 million renter households have incomes below 50 percent of area median income, qualifying them for Section 8 in principle. The program's funding constraint means waitlists in major metropolitan areas can extend for years or decades; many PHAs have closed their waitlists entirely because of overwhelming demand. The Section 8 waitlist problem is the most consequential characteristic of the program for understanding how the platform should interact with it.</w:t>
      </w:r>
    </w:p>
    <w:p>
      <w:pPr>
        <w:pStyle w:val="Normal"/>
        <w:spacing w:after="240" w:before="480"/>
      </w:pPr>
      <w:r>
        <w:rPr>
          <w:rFonts w:ascii="Arial" w:cs="Arial" w:eastAsia="Arial" w:hAnsi="Arial"/>
          <w:b/>
          <w:bCs/>
          <w:color w:val="1F4E78"/>
          <w:sz w:val="36"/>
          <w:szCs w:val="36"/>
        </w:rPr>
        <w:t>The platform's universal commitments interact with Section 8 in three distinct ways. First, the platform's universal childcare and universal healthcare change the income calculations Section 8 uses to determine rent contribution, shifting effective benefit levels for current Section 8 households. Second, the platform's broader fiscal architecture, particularly the Sovereign Fund's mature steady-state disbursement capacity, creates fiscal space that could in principle expand Section 8 funding to address the waitlist gap. Third, the platform's universal benefits reach all eligible households regardless of their housing situation, which means Section 8 households and waitlist households both receive universal healthcare, childcare, mental health access, and other platform commitments without the Section 8 administrative process.</w:t>
      </w:r>
    </w:p>
    <w:p>
      <w:pPr>
        <w:spacing w:after="240" w:line="340"/>
        <w:jc w:val="both"/>
      </w:pPr>
      <w:r>
        <w:rPr>
          <w:rFonts w:ascii="Georgia" w:cs="Georgia" w:eastAsia="Georgia" w:hAnsi="Georgia"/>
          <w:color w:val="1A1A1A"/>
          <w:sz w:val="24"/>
          <w:szCs w:val="24"/>
        </w:rPr>
        <w:t>This document maps these interactions, identifies the design choices the platform must make about Section 8 expansion versus maintenance, and analyzes how Section 8 households experience the platform alongside their existing housing assistance. As with prior phased-expansion documents, the analysis is framework-level rather than statute-detailed; specific HUD income calculation rules, voucher payment standard mechanics, and PHA (Public Housing Authority) administrative procedures are beyond this document's scope and would require HUD subject-matter expert review before implementation.</w:t>
      </w:r>
    </w:p>
    <w:p>
      <w:pPr>
        <w:pStyle w:val="Heading1"/>
        <w:spacing w:after="240" w:line="340"/>
        <w:jc w:val="both"/>
      </w:pPr>
      <w:r>
        <w:rPr>
          <w:rFonts w:ascii="Georgia" w:cs="Georgia" w:eastAsia="Georgia" w:hAnsi="Georgia"/>
          <w:color w:val="1A1A1A"/>
          <w:sz w:val="24"/>
          <w:szCs w:val="24"/>
        </w:rPr>
        <w:t>How Section 8 Currently Works</w:t>
      </w:r>
    </w:p>
    <w:p>
      <w:pPr>
        <w:pStyle w:val="Normal"/>
        <w:spacing w:after="240" w:before="480"/>
      </w:pPr>
      <w:r>
        <w:rPr>
          <w:rFonts w:ascii="Arial" w:cs="Arial" w:eastAsia="Arial" w:hAnsi="Arial"/>
          <w:b/>
          <w:bCs/>
          <w:color w:val="1F4E78"/>
          <w:sz w:val="36"/>
          <w:szCs w:val="36"/>
        </w:rPr>
        <w:t>Understanding the platform's interaction with Section 8 requires familiarity with how the program calculates household contribution to rent. Section 8 tenants pay approximately 30 percent of adjusted income toward rent. Adjusted income is calculated from gross income with specific HUD-defined deductions: a dependent allowance ($480 per dependent), an elderly or disabled household allowance ($400), a deduction for childcare expenses necessary to enable employment, and a medical expense deduction for elderly or disabled households exceeding 3 percent of gross income.</w:t>
      </w:r>
    </w:p>
    <w:p>
      <w:pPr>
        <w:spacing w:after="240" w:line="340"/>
        <w:jc w:val="both"/>
      </w:pPr>
      <w:r>
        <w:rPr>
          <w:rFonts w:ascii="Georgia" w:cs="Georgia" w:eastAsia="Georgia" w:hAnsi="Georgia"/>
          <w:color w:val="1A1A1A"/>
          <w:sz w:val="24"/>
          <w:szCs w:val="24"/>
        </w:rPr>
        <w:t>These deductions reduce adjusted income, which reduces the household's required rent contribution, which increases the voucher payment from HUD. A household with substantial childcare expenses or substantial medical expenses may pay less than 30 percent of gross income toward rent because their adjusted income is meaningfully lower than gross. Conversely, households with no qualifying deductions pay closer to 30 percent of gross income.</w:t>
      </w:r>
    </w:p>
    <w:p>
      <w:pPr>
        <w:spacing w:after="240" w:line="340"/>
        <w:jc w:val="both"/>
      </w:pPr>
      <w:r>
        <w:rPr>
          <w:rFonts w:ascii="Georgia" w:cs="Georgia" w:eastAsia="Georgia" w:hAnsi="Georgia"/>
          <w:color w:val="1A1A1A"/>
          <w:sz w:val="24"/>
          <w:szCs w:val="24"/>
        </w:rPr>
        <w:t>The Fair Market Rent payment standard limits how much voucher payment HUD will provide. If a tenant rents an apartment costing more than the FMR for their area, they pay the difference out of pocket on top of the 30 percent contribution. This often forces tenants to accept lower-quality housing in less desirable neighborhoods, particularly in tight rental markets. The Small Area Fair Market Rent rule, applicable in some metropolitan areas since 2017, sets payment standards by ZIP code rather than metropolitan-wide, partially addressing this concentration problem.</w:t>
      </w:r>
    </w:p>
    <w:p>
      <w:pPr>
        <w:spacing w:after="240" w:line="340"/>
        <w:jc w:val="both"/>
      </w:pPr>
      <w:r>
        <w:rPr>
          <w:rFonts w:ascii="Georgia" w:cs="Georgia" w:eastAsia="Georgia" w:hAnsi="Georgia"/>
          <w:color w:val="1A1A1A"/>
          <w:sz w:val="24"/>
          <w:szCs w:val="24"/>
        </w:rPr>
        <w:t>Section 8 is administered by approximately 2,200 Public Housing Agencies. PHA administrative practices vary substantially across jurisdictions. Some PHAs have efficient online application and recertification systems; others use paper-only processes that introduce substantial friction. Some PHAs participate in HUD's Moving to Work demonstration with greater administrative flexibility; most do not. The variation across PHAs is similar in magnitude to the variation across state Medicaid administrations identified in the v2.14 state cooperation analysis.</w:t>
      </w:r>
    </w:p>
    <w:p>
      <w:pPr>
        <w:pStyle w:val="Heading1"/>
        <w:spacing w:after="240" w:line="340"/>
        <w:jc w:val="both"/>
      </w:pPr>
      <w:r>
        <w:rPr>
          <w:rFonts w:ascii="Georgia" w:cs="Georgia" w:eastAsia="Georgia" w:hAnsi="Georgia"/>
          <w:color w:val="1A1A1A"/>
          <w:sz w:val="24"/>
          <w:szCs w:val="24"/>
        </w:rPr>
        <w:t>Universal Childcare's Effect on Section 8 Income Calculation</w:t>
      </w:r>
    </w:p>
    <w:p>
      <w:pPr>
        <w:pStyle w:val="Normal"/>
        <w:spacing w:after="240" w:before="480"/>
      </w:pPr>
      <w:r>
        <w:rPr>
          <w:rFonts w:ascii="Arial" w:cs="Arial" w:eastAsia="Arial" w:hAnsi="Arial"/>
          <w:b/>
          <w:bCs/>
          <w:color w:val="1F4E78"/>
          <w:sz w:val="36"/>
          <w:szCs w:val="36"/>
        </w:rPr>
        <w:t>The platform's universal childcare commitment provides subsidized childcare access to all eligible children under 5. Working households currently spend an average of approximately $13,710 per year per child needing care; under the platform, this drops to approximately $2,500 per year per child (Quebec model: $10 per day times approximately 250 days). For working Section 8 households with childcare needs, this is a substantial change in household economics.</w:t>
      </w:r>
    </w:p>
    <w:p>
      <w:pPr>
        <w:spacing w:after="240" w:line="340"/>
        <w:jc w:val="both"/>
      </w:pPr>
      <w:r>
        <w:rPr>
          <w:rFonts w:ascii="Georgia" w:cs="Georgia" w:eastAsia="Georgia" w:hAnsi="Georgia"/>
          <w:color w:val="1A1A1A"/>
          <w:sz w:val="24"/>
          <w:szCs w:val="24"/>
        </w:rPr>
        <w:t>Section 8's childcare expense deduction currently reduces adjusted income by the amount the household pays for childcare necessary to enable employment. Under the platform, this deduction's value shrinks dramatically for affected households because their childcare expenses drop from approximately $13,710 to approximately $2,500 per child per year. A household with two children in childcare currently deducts approximately $27,420 from gross income for Section 8 purposes; under the platform, they deduct approximately $5,000.</w:t>
      </w:r>
    </w:p>
    <w:p>
      <w:pPr>
        <w:spacing w:after="240" w:line="340"/>
        <w:jc w:val="both"/>
      </w:pPr>
      <w:r>
        <w:rPr>
          <w:rFonts w:ascii="Georgia" w:cs="Georgia" w:eastAsia="Georgia" w:hAnsi="Georgia"/>
          <w:color w:val="1A1A1A"/>
          <w:sz w:val="24"/>
          <w:szCs w:val="24"/>
        </w:rPr>
        <w:t>This produces an apparent paradox: universal childcare saves the household substantial money in actual childcare costs (a roughly $22,000 reduction per year for two children) but increases their Section 8 rent contribution because their adjusted income is now higher. The net effect on the household varies by specific situation but is overwhelmingly positive: the household saves approximately $22,000 in childcare costs and pays perhaps $6,000 more in rent (roughly 30 percent of $22,000 in additional adjusted income), netting roughly $16,000 in annual savings. The platform produces substantial benefit even after accounting for the Section 8 interaction.</w:t>
      </w:r>
    </w:p>
    <w:p>
      <w:pPr>
        <w:spacing w:after="240" w:line="340"/>
        <w:jc w:val="both"/>
      </w:pPr>
      <w:r>
        <w:rPr>
          <w:rFonts w:ascii="Georgia" w:cs="Georgia" w:eastAsia="Georgia" w:hAnsi="Georgia"/>
          <w:color w:val="1A1A1A"/>
          <w:sz w:val="24"/>
          <w:szCs w:val="24"/>
        </w:rPr>
        <w:t>The mechanical interaction is worth flagging for Section 8 households so they understand what to expect. A Section 8 household whose rent contribution increases when universal childcare deploys may incorrectly perceive this as a platform-driven cost increase. The actual outcome is much better than that perception: the household saves more in childcare costs than they pay in additional rent. Communication infrastructure should specifically address this dynamic for Section 8 households so that confusion does not produce political opposition to a policy that benefits them substantially.</w:t>
      </w:r>
    </w:p>
    <w:p>
      <w:pPr>
        <w:pStyle w:val="Normal"/>
        <w:spacing w:after="240" w:before="480"/>
      </w:pPr>
      <w:r>
        <w:rPr>
          <w:rFonts w:ascii="Arial" w:cs="Arial" w:eastAsia="Arial" w:hAnsi="Arial"/>
          <w:b/>
          <w:bCs/>
          <w:color w:val="1F4E78"/>
          <w:sz w:val="36"/>
          <w:szCs w:val="36"/>
        </w:rPr>
        <w:t>The platform's design should also consider whether HUD income calculation rules should be modified to account for universal childcare. One option preserves the current calculation (childcare deduction equals actual childcare expenses, which fall under the platform). Another option modifies the calculation to apply a deemed childcare expense allowance even when actual expenses are low (preserving deduction value as a recognition that the household still has caregiving responsibilities). The choice has redistributive implications: the first option produces higher rent contributions from Section 8 working families with children; the second preserves the rent contribution structure they currently expect. This is a HUD regulatory choice rather than a statutory one and could be adjusted through HUD rulemaking.</w:t>
      </w:r>
    </w:p>
    <w:p>
      <w:pPr>
        <w:pStyle w:val="Heading1"/>
        <w:spacing w:after="240" w:line="340"/>
        <w:jc w:val="both"/>
      </w:pPr>
      <w:r>
        <w:rPr>
          <w:rFonts w:ascii="Georgia" w:cs="Georgia" w:eastAsia="Georgia" w:hAnsi="Georgia"/>
          <w:color w:val="1A1A1A"/>
          <w:sz w:val="24"/>
          <w:szCs w:val="24"/>
        </w:rPr>
        <w:t>Universal Healthcare's Effect on Section 8 Income Calculation</w:t>
      </w:r>
    </w:p>
    <w:p>
      <w:pPr>
        <w:spacing w:after="240" w:line="340"/>
        <w:jc w:val="both"/>
      </w:pPr>
      <w:r>
        <w:rPr>
          <w:rFonts w:ascii="Georgia" w:cs="Georgia" w:eastAsia="Georgia" w:hAnsi="Georgia"/>
          <w:color w:val="1A1A1A"/>
          <w:sz w:val="24"/>
          <w:szCs w:val="24"/>
        </w:rPr>
        <w:t>The medical expense deduction in Section 8 income calculation applies only to elderly (62 and older) and disabled households, allowing them to deduct unreimbursed medical expenses exceeding 3 percent of gross income. Universal healthcare reduces out-of-pocket medical expenses substantially for these households (the analytical framing documents estimate platform-side OOP at approximately one-third of current OOP), which reduces the deduction's value.</w:t>
      </w:r>
    </w:p>
    <w:p>
      <w:pPr>
        <w:pStyle w:val="Normal"/>
        <w:spacing w:after="240" w:before="480"/>
      </w:pPr>
      <w:r>
        <w:rPr>
          <w:rFonts w:ascii="Arial" w:cs="Arial" w:eastAsia="Arial" w:hAnsi="Arial"/>
          <w:b/>
          <w:bCs/>
          <w:color w:val="1F4E78"/>
          <w:sz w:val="36"/>
          <w:szCs w:val="36"/>
        </w:rPr>
        <w:t>The Section 8 medical expense deduction operates analogously to the childcare deduction: lower actual expenses means lower deduction means higher adjusted income means higher rent contribution. Elderly or disabled Section 8 households see their out-of-pocket medical drop from typical $4,500 per year to approximately $1,500 per year (a $3,000 reduction in expenses); their Section 8 rent contribution may increase by perhaps $1,000 (roughly 30 percent of the reduced deduction value). Net household savings of approximately $2,000 per year, plus the substantial improvement in healthcare access universal coverage provides.</w:t>
      </w:r>
    </w:p>
    <w:p>
      <w:pPr>
        <w:spacing w:after="240" w:line="340"/>
        <w:jc w:val="both"/>
      </w:pPr>
      <w:r>
        <w:rPr>
          <w:rFonts w:ascii="Georgia" w:cs="Georgia" w:eastAsia="Georgia" w:hAnsi="Georgia"/>
          <w:color w:val="1A1A1A"/>
          <w:sz w:val="24"/>
          <w:szCs w:val="24"/>
        </w:rPr>
        <w:t>The same communication consideration applies as with childcare: elderly and disabled Section 8 households may perceive the rent increase as a platform-driven cost rather than as a partial offset to substantial healthcare savings. Communication infrastructure should specifically address this dynamic for elderly and disabled Section 8 households.</w:t>
      </w:r>
    </w:p>
    <w:p>
      <w:pPr>
        <w:pStyle w:val="Heading1"/>
        <w:spacing w:after="240" w:line="340"/>
        <w:jc w:val="both"/>
      </w:pPr>
      <w:r>
        <w:rPr>
          <w:rFonts w:ascii="Georgia" w:cs="Georgia" w:eastAsia="Georgia" w:hAnsi="Georgia"/>
          <w:color w:val="1A1A1A"/>
          <w:sz w:val="24"/>
          <w:szCs w:val="24"/>
        </w:rPr>
        <w:t>The Waitlist Problem</w:t>
      </w:r>
    </w:p>
    <w:p>
      <w:pPr>
        <w:pStyle w:val="Normal"/>
        <w:spacing w:after="240" w:before="480"/>
      </w:pPr>
      <w:r>
        <w:rPr>
          <w:rFonts w:ascii="Arial" w:cs="Arial" w:eastAsia="Arial" w:hAnsi="Arial"/>
          <w:b/>
          <w:bCs/>
          <w:color w:val="1F4E78"/>
          <w:sz w:val="36"/>
          <w:szCs w:val="36"/>
        </w:rPr>
        <w:t>Section 8's most significant feature is its inadequate funding relative to need. The federal block grant for the Housing Choice Voucher Program covers approximately 5 million households; approximately 18 million households would qualify based on income. Waitlists in major metropolitan areas extend for many years; the New York City Housing Authority closed its Section 8 waitlist in 2009 and has not reopened it as of the platform package's research cutoff. Many other major-city PHAs have similarly closed waitlists. Households cannot apply for assistance they could in principle receive.</w:t>
      </w:r>
    </w:p>
    <w:p>
      <w:pPr>
        <w:spacing w:after="240" w:line="340"/>
        <w:jc w:val="both"/>
      </w:pPr>
      <w:r>
        <w:rPr>
          <w:rFonts w:ascii="Georgia" w:cs="Georgia" w:eastAsia="Georgia" w:hAnsi="Georgia"/>
          <w:color w:val="1A1A1A"/>
          <w:sz w:val="24"/>
          <w:szCs w:val="24"/>
        </w:rPr>
        <w:t>The platform does not directly address Section 8 funding levels in its current commitments. The Sovereign Fund's mature steady-state disbursement capacity (~$2.7 trillion per year by Year 30) creates fiscal space that could in principle support Section 8 expansion to universal eligibility-based access, but no current platform document commits to such expansion. This is a real gap in the platform's housing policy: the platform addresses healthcare, childcare, mental health, broadband, identity infrastructure, and several other domains comprehensively but treats housing as primarily a private-market concern.</w:t>
      </w:r>
    </w:p>
    <w:p>
      <w:pPr>
        <w:pStyle w:val="Normal"/>
        <w:spacing w:after="160" w:before="360"/>
      </w:pPr>
      <w:r>
        <w:rPr>
          <w:rFonts w:ascii="Arial" w:cs="Arial" w:eastAsia="Arial" w:hAnsi="Arial"/>
          <w:b/>
          <w:bCs/>
          <w:color w:val="1F4E78"/>
          <w:sz w:val="28"/>
          <w:szCs w:val="28"/>
        </w:rPr>
        <w:t>Three approaches to Section 8 expansion are plausible and warrant explicit consideration. Approach A: The platform leaves Section 8 unchanged. Existing waitlists continue; existing vouchers continue; the platform's universal commitments reach Section 8 households like all other households. The platform makes no positive contribution to housing policy beyond the indirect effects on Section 8 income calculations. Approach B: The platform expands Section 8 funding to address the waitlist, using Sovereign Fund disbursements to fund the expansion. This adds housing affordability to the platform's coverage and addresses a real distributional gap. The fiscal cost of universal Section 8 access (roughly tripling current funding to cover roughly 18 million households) is approximately $40 to $50 billion per year in additional federal expenditure, well within the Sovereign Fund's mature disbursement capacity. Approach C: The platform restructures federal housing policy more fundamentally, replacing Section 8 with a housing tax credit, a refundable housing assistance benefit administered through Direct File, or some other architecture better suited to the platform's broader design principles.</w:t>
      </w:r>
    </w:p>
    <w:p>
      <w:pPr>
        <w:spacing w:after="240" w:line="340"/>
        <w:jc w:val="both"/>
      </w:pPr>
      <w:r>
        <w:rPr>
          <w:rFonts w:ascii="Georgia" w:cs="Georgia" w:eastAsia="Georgia" w:hAnsi="Georgia"/>
          <w:color w:val="1A1A1A"/>
          <w:sz w:val="24"/>
          <w:szCs w:val="24"/>
        </w:rPr>
        <w:t>Approach A is the path of least resistance and is consistent with the platform's current commitments, but it leaves a substantial distributional inequity: low-income working households in non-Section-8-served situations pay platform contributions and receive platform universal benefits but do not receive housing assistance their counterparts on the waitlist would receive if served. Approach B addresses this directly but expands the platform's scope substantially. Approach C is the most ambitious and would require substantial design work.</w:t>
      </w:r>
    </w:p>
    <w:p>
      <w:pPr>
        <w:spacing w:after="240" w:line="340"/>
        <w:jc w:val="both"/>
      </w:pPr>
      <w:r>
        <w:rPr>
          <w:rFonts w:ascii="Georgia" w:cs="Georgia" w:eastAsia="Georgia" w:hAnsi="Georgia"/>
          <w:color w:val="1A1A1A"/>
          <w:sz w:val="24"/>
          <w:szCs w:val="24"/>
        </w:rPr>
        <w:t>The platform should at minimum acknowledge this gap in its current scope. The platform's existing documents do not address housing affordability beyond Civic Infrastructure investment; the silence is not benign because housing is a major and growing component of working-class household expense. A future platform release (v3.x) might consider adding housing affordability as a formal pillar.</w:t>
      </w:r>
    </w:p>
    <w:p>
      <w:pPr>
        <w:pStyle w:val="Heading2"/>
        <w:spacing w:after="160" w:before="360"/>
      </w:pPr>
      <w:r>
        <w:rPr>
          <w:rFonts w:ascii="Arial" w:cs="Arial" w:eastAsia="Arial" w:hAnsi="Arial"/>
          <w:b/>
          <w:bCs/>
          <w:color w:val="1F4E78"/>
          <w:sz w:val="28"/>
          <w:szCs w:val="28"/>
        </w:rPr>
        <w:t>Project-Based Vouchers and Public Housing</w:t>
      </w:r>
    </w:p>
    <w:p>
      <w:pPr>
        <w:spacing w:after="240" w:line="340"/>
        <w:jc w:val="both"/>
      </w:pPr>
      <w:r>
        <w:rPr>
          <w:rFonts w:ascii="Georgia" w:cs="Georgia" w:eastAsia="Georgia" w:hAnsi="Georgia"/>
          <w:color w:val="1A1A1A"/>
          <w:sz w:val="24"/>
          <w:szCs w:val="24"/>
        </w:rPr>
        <w:t>Section 8 includes project-based voucher arrangements where the voucher attaches to a specific housing unit rather than a household. Tenants in project-based units receive Section 8 subsidy for that unit; if they move out, the unit gets a new tenant and the subsidy continues. Project-based vouchers serve approximately 1.5 million units, often in housing developments with mixed income or 100 percent Section 8 occupancy.</w:t>
      </w:r>
    </w:p>
    <w:p>
      <w:pPr>
        <w:pStyle w:val="Normal"/>
        <w:spacing w:after="160" w:before="360"/>
      </w:pPr>
      <w:r>
        <w:rPr>
          <w:rFonts w:ascii="Arial" w:cs="Arial" w:eastAsia="Arial" w:hAnsi="Arial"/>
          <w:b/>
          <w:bCs/>
          <w:color w:val="1F4E78"/>
          <w:sz w:val="28"/>
          <w:szCs w:val="28"/>
        </w:rPr>
        <w:t>Public housing (separate from Section 8) provides directly federally-owned and operated housing to approximately 1 million households. Public housing has been declining in scope since the Faircloth Amendment of 1998 prohibited net new public housing construction. Existing public housing developments continue to operate, often under significant capital backlogs and management challenges.</w:t>
      </w:r>
    </w:p>
    <w:p>
      <w:pPr>
        <w:spacing w:after="240" w:line="340"/>
        <w:jc w:val="both"/>
      </w:pPr>
      <w:r>
        <w:rPr>
          <w:rFonts w:ascii="Georgia" w:cs="Georgia" w:eastAsia="Georgia" w:hAnsi="Georgia"/>
          <w:color w:val="1A1A1A"/>
          <w:sz w:val="24"/>
          <w:szCs w:val="24"/>
        </w:rPr>
        <w:t>These programs interact with the platform similarly to tenant-based Section 8: their household income calculations use the same HUD methodology with the same childcare and medical expense deductions; the platform's universal benefits reach residents regardless of housing status; the waitlist and supply constraint problems apply analogously. The platform's design choices for tenant-based Section 8 generally apply to project-based vouchers and public housing as well.</w:t>
      </w:r>
    </w:p>
    <w:p>
      <w:pPr>
        <w:pStyle w:val="Heading1"/>
        <w:spacing w:after="240" w:before="480"/>
      </w:pPr>
      <w:r>
        <w:rPr>
          <w:rFonts w:ascii="Arial" w:cs="Arial" w:eastAsia="Arial" w:hAnsi="Arial"/>
          <w:b/>
          <w:bCs/>
          <w:color w:val="1F4E78"/>
          <w:sz w:val="36"/>
          <w:szCs w:val="36"/>
        </w:rPr>
        <w:t>Geographic Mobility and Section 8</w:t>
      </w:r>
    </w:p>
    <w:p>
      <w:pPr>
        <w:spacing w:after="240" w:line="340"/>
        <w:jc w:val="both"/>
      </w:pPr>
      <w:r>
        <w:rPr>
          <w:rFonts w:ascii="Georgia" w:cs="Georgia" w:eastAsia="Georgia" w:hAnsi="Georgia"/>
          <w:color w:val="1A1A1A"/>
          <w:sz w:val="24"/>
          <w:szCs w:val="24"/>
        </w:rPr>
        <w:t>Section 8 vouchers are theoretically portable; a household with a voucher can move to any community and use the voucher there. In practice, voucher portability is limited by tight rental markets where landlords reject voucher tenants, by source-of-income discrimination that is illegal in some jurisdictions and legal in others, and by the friction of transferring between PHAs. Approximately 70 percent of voucher holders use their vouchers in the same census tract or adjacent tract where they were issued.</w:t>
      </w:r>
    </w:p>
    <w:p>
      <w:pPr>
        <w:spacing w:after="240" w:line="340"/>
        <w:jc w:val="both"/>
      </w:pPr>
      <w:r>
        <w:rPr>
          <w:rFonts w:ascii="Georgia" w:cs="Georgia" w:eastAsia="Georgia" w:hAnsi="Georgia"/>
          <w:color w:val="1A1A1A"/>
          <w:sz w:val="24"/>
          <w:szCs w:val="24"/>
        </w:rPr>
        <w:t>This geographic immobility limits the platform's ability to address regional housing affordability variation. A Section 8 household in a high-cost metropolitan area receives a voucher payment standard set to the area's Fair Market Rent, which mostly accommodates higher rents. A household with a voucher issued in a low-cost area cannot easily move to a high-cost area for employment opportunity even if their voucher would technically follow them. The platform's universal commitments (healthcare, childcare, mental health access, broadband) reduce the regional variation in cost of living and therefore make geographic mobility marginally easier, but they do not directly address the rental market dynamics.</w:t>
      </w:r>
    </w:p>
    <w:p>
      <w:pPr>
        <w:spacing w:after="240" w:line="340"/>
        <w:jc w:val="both"/>
      </w:pPr>
      <w:r>
        <w:rPr>
          <w:rFonts w:ascii="Georgia" w:cs="Georgia" w:eastAsia="Georgia" w:hAnsi="Georgia"/>
          <w:color w:val="1A1A1A"/>
          <w:sz w:val="24"/>
          <w:szCs w:val="24"/>
        </w:rPr>
        <w:t>If the platform pursued Approach B (Section 8 expansion to universal eligibility), it would also need to address the geographic mobility issues. A universal voucher program with the same use limitations as current Section 8 would provide universal coverage on paper while leaving many households unable to use their vouchers effectively. Federal preemption of state and local source-of-income discrimination, support for housing supply increases in high-demand markets, and similar policy elements would need to accompany the funding expansion.</w:t>
      </w:r>
    </w:p>
    <w:p>
      <w:pPr>
        <w:pStyle w:val="Heading1"/>
        <w:spacing w:after="240" w:before="480"/>
      </w:pPr>
      <w:r>
        <w:rPr>
          <w:rFonts w:ascii="Arial" w:cs="Arial" w:eastAsia="Arial" w:hAnsi="Arial"/>
          <w:b/>
          <w:bCs/>
          <w:color w:val="1F4E78"/>
          <w:sz w:val="36"/>
          <w:szCs w:val="36"/>
        </w:rPr>
        <w:t>Failure Modes</w:t>
      </w:r>
    </w:p>
    <w:p>
      <w:pPr>
        <w:pStyle w:val="Heading2"/>
        <w:spacing w:after="240" w:line="340"/>
        <w:jc w:val="both"/>
      </w:pPr>
      <w:r>
        <w:rPr>
          <w:rFonts w:ascii="Georgia" w:cs="Georgia" w:eastAsia="Georgia" w:hAnsi="Georgia"/>
          <w:color w:val="1A1A1A"/>
          <w:sz w:val="24"/>
          <w:szCs w:val="24"/>
        </w:rPr>
        <w:t>The Apparent-Cost-Increase Failure Mode</w:t>
      </w:r>
    </w:p>
    <w:p>
      <w:pPr>
        <w:spacing w:after="240" w:line="340"/>
        <w:jc w:val="both"/>
      </w:pPr>
      <w:r>
        <w:rPr>
          <w:rFonts w:ascii="Georgia" w:cs="Georgia" w:eastAsia="Georgia" w:hAnsi="Georgia"/>
          <w:color w:val="1A1A1A"/>
          <w:sz w:val="24"/>
          <w:szCs w:val="24"/>
        </w:rPr>
        <w:t>Section 8 households whose rent contribution increases under universal childcare or universal healthcare may misinterpret this as a platform-driven cost imposed on them. Without clear communication, these households may oppose the platform politically even though they are net beneficiaries. The platform's communication infrastructure should specifically address this dynamic for Section 8 working families and elderly/disabled households. Generic platform communications focusing on net household savings will not address the specific Section 8 mechanic; targeted Section 8-specific communications are needed.</w:t>
      </w:r>
    </w:p>
    <w:p>
      <w:pPr>
        <w:pStyle w:val="Heading1"/>
        <w:spacing w:after="240" w:before="480"/>
      </w:pPr>
      <w:r>
        <w:rPr>
          <w:rFonts w:ascii="Arial" w:cs="Arial" w:eastAsia="Arial" w:hAnsi="Arial"/>
          <w:b/>
          <w:bCs/>
          <w:color w:val="1F4E78"/>
          <w:sz w:val="36"/>
          <w:szCs w:val="36"/>
        </w:rPr>
        <w:t>The Waitlist-Inequity Failure Mode</w:t>
      </w:r>
    </w:p>
    <w:p>
      <w:pPr>
        <w:pStyle w:val="Normal"/>
        <w:spacing w:after="160" w:before="360"/>
      </w:pPr>
      <w:r>
        <w:rPr>
          <w:rFonts w:ascii="Arial" w:cs="Arial" w:eastAsia="Arial" w:hAnsi="Arial"/>
          <w:b/>
          <w:bCs/>
          <w:color w:val="1F4E78"/>
          <w:sz w:val="28"/>
          <w:szCs w:val="28"/>
        </w:rPr>
        <w:t>Households on Section 8 waitlists receive universal platform benefits like all other households but do not receive the housing assistance that would put them in equivalent housing situations to households fortunate enough to have received vouchers. This pre-existing inequity is not caused by the platform but is unaddressed by it. Politically, Section 8 waitlist households may perceive that the platform's other expansive commitments could have addressed their housing situation but chose not to. Communication and policy choice should acknowledge this perception rather than ignore it.</w:t>
      </w:r>
    </w:p>
    <w:p>
      <w:pPr>
        <w:pStyle w:val="Heading2"/>
        <w:spacing w:after="240" w:line="340"/>
        <w:jc w:val="both"/>
      </w:pPr>
      <w:r>
        <w:rPr>
          <w:rFonts w:ascii="Georgia" w:cs="Georgia" w:eastAsia="Georgia" w:hAnsi="Georgia"/>
          <w:color w:val="1A1A1A"/>
          <w:sz w:val="24"/>
          <w:szCs w:val="24"/>
        </w:rPr>
        <w:t>The PHA Variation Failure Mode</w:t>
      </w:r>
    </w:p>
    <w:p>
      <w:pPr>
        <w:pStyle w:val="Normal"/>
        <w:spacing w:after="160" w:before="360"/>
      </w:pPr>
      <w:r>
        <w:rPr>
          <w:rFonts w:ascii="Arial" w:cs="Arial" w:eastAsia="Arial" w:hAnsi="Arial"/>
          <w:b/>
          <w:bCs/>
          <w:color w:val="1F4E78"/>
          <w:sz w:val="28"/>
          <w:szCs w:val="28"/>
        </w:rPr>
        <w:t>Section 8 households' actual experience varies substantially across PHAs. A household in a well-administered PHA jurisdiction has substantively different experience than a household in a poorly-administered one, even with identical income, family composition, and need. The platform's design does not address this variation directly; PHA-level administrative quality continues to determine effective access. The state cooperation analysis (v2.14) applies analogously to PHA administration: federal-direct fallbacks for the worst-administered PHAs may be necessary if the variation produces persistent inequity.</w:t>
      </w:r>
    </w:p>
    <w:p>
      <w:pPr>
        <w:pStyle w:val="Heading2"/>
        <w:spacing w:after="240" w:line="340"/>
        <w:jc w:val="both"/>
      </w:pPr>
      <w:r>
        <w:rPr>
          <w:rFonts w:ascii="Georgia" w:cs="Georgia" w:eastAsia="Georgia" w:hAnsi="Georgia"/>
          <w:color w:val="1A1A1A"/>
          <w:sz w:val="24"/>
          <w:szCs w:val="24"/>
        </w:rPr>
        <w:t>The Political Visibility Failure Mode</w:t>
      </w:r>
    </w:p>
    <w:p>
      <w:pPr>
        <w:pStyle w:val="Normal"/>
        <w:spacing w:after="160" w:before="360"/>
      </w:pPr>
      <w:r>
        <w:rPr>
          <w:rFonts w:ascii="Arial" w:cs="Arial" w:eastAsia="Arial" w:hAnsi="Arial"/>
          <w:b/>
          <w:bCs/>
          <w:color w:val="1F4E78"/>
          <w:sz w:val="28"/>
          <w:szCs w:val="28"/>
        </w:rPr>
        <w:t>Section 8 has long been politically vulnerable. Recipients are stereotyped negatively in political messaging; budget cuts have been proposed regularly; the program has not been substantially expanded in decades despite documented need growth. The platform's broader social investment frame may not protect Section 8 from political attack, and the platform's silence on housing policy may be perceived as accepting Section 8's political vulnerability rather than addressing it. Active platform engagement with housing policy as a positive matter (rather than treating it as out of scope) may be necessary for Section 8's continued operation, regardless of the specific design choice the platform makes.</w:t>
      </w:r>
    </w:p>
    <w:p>
      <w:pPr>
        <w:pStyle w:val="Heading1"/>
        <w:spacing w:after="240" w:line="340"/>
        <w:jc w:val="both"/>
      </w:pPr>
      <w:r>
        <w:rPr>
          <w:rFonts w:ascii="Georgia" w:cs="Georgia" w:eastAsia="Georgia" w:hAnsi="Georgia"/>
          <w:color w:val="1A1A1A"/>
          <w:sz w:val="24"/>
          <w:szCs w:val="24"/>
        </w:rPr>
        <w:t>Open Questions</w:t>
      </w:r>
    </w:p>
    <w:p>
      <w:pPr>
        <w:pStyle w:val="Normal"/>
        <w:spacing w:after="160" w:before="360"/>
      </w:pPr>
      <w:r>
        <w:rPr>
          <w:rFonts w:ascii="Arial" w:cs="Arial" w:eastAsia="Arial" w:hAnsi="Arial"/>
          <w:b/>
          <w:bCs/>
          <w:color w:val="1F4E78"/>
          <w:sz w:val="28"/>
          <w:szCs w:val="28"/>
        </w:rPr>
        <w:t>Should the platform commit to Section 8 expansion to address the waitlist? Approach B in this document outlines the option; the platform's current commitments do not include it; explicit commitment would be a substantial scope addition.</w:t>
      </w:r>
    </w:p>
    <w:p>
      <w:pPr>
        <w:spacing w:after="240" w:line="340"/>
        <w:jc w:val="both"/>
      </w:pPr>
      <w:r>
        <w:rPr>
          <w:rFonts w:ascii="Georgia" w:cs="Georgia" w:eastAsia="Georgia" w:hAnsi="Georgia"/>
          <w:color w:val="1A1A1A"/>
          <w:sz w:val="24"/>
          <w:szCs w:val="24"/>
        </w:rPr>
        <w:t>Should HUD income calculation rules be modified to account for universal childcare and universal healthcare? The mechanical effect of universal services on Section 8 deductions could be smoothed through regulatory change, preserving deduction value through deemed expense allowances rather than actual-expense calculations. This is a HUD regulatory question.</w:t>
      </w:r>
    </w:p>
    <w:p>
      <w:pPr>
        <w:pStyle w:val="Normal"/>
        <w:spacing w:after="160" w:before="360"/>
      </w:pPr>
      <w:r>
        <w:rPr>
          <w:rFonts w:ascii="Arial" w:cs="Arial" w:eastAsia="Arial" w:hAnsi="Arial"/>
          <w:b/>
          <w:bCs/>
          <w:color w:val="1F4E78"/>
          <w:sz w:val="28"/>
          <w:szCs w:val="28"/>
        </w:rPr>
        <w:t>How should communication infrastructure address the apparent-rent-increase dynamic for Section 8 households? Generic platform messaging will not resolve this; Section 8-specific communications are needed.</w:t>
      </w:r>
    </w:p>
    <w:p>
      <w:pPr>
        <w:spacing w:after="240" w:line="340"/>
        <w:jc w:val="both"/>
      </w:pPr>
      <w:r>
        <w:rPr>
          <w:rFonts w:ascii="Georgia" w:cs="Georgia" w:eastAsia="Georgia" w:hAnsi="Georgia"/>
          <w:color w:val="1A1A1A"/>
          <w:sz w:val="24"/>
          <w:szCs w:val="24"/>
        </w:rPr>
        <w:t>How does the platform interact with state-level housing programs? Many states operate their own rental assistance programs alongside or instead of Section 8. The federal-state cooperation analysis (v2.14) applies but state housing programs have not been mapped specifically.</w:t>
      </w:r>
    </w:p>
    <w:p>
      <w:pPr>
        <w:pStyle w:val="Normal"/>
        <w:spacing w:after="240" w:before="480"/>
      </w:pPr>
      <w:r>
        <w:rPr>
          <w:rFonts w:ascii="Arial" w:cs="Arial" w:eastAsia="Arial" w:hAnsi="Arial"/>
          <w:b/>
          <w:bCs/>
          <w:color w:val="1F4E78"/>
          <w:sz w:val="36"/>
          <w:szCs w:val="36"/>
        </w:rPr>
        <w:t>How does the platform handle source-of-income discrimination in voucher use? Federal preemption is a possible policy element but is not currently part of the platform's commitments.</w:t>
      </w:r>
    </w:p>
    <w:p>
      <w:pPr>
        <w:spacing w:after="240" w:line="340"/>
        <w:jc w:val="both"/>
      </w:pPr>
      <w:r>
        <w:rPr>
          <w:rFonts w:ascii="Georgia" w:cs="Georgia" w:eastAsia="Georgia" w:hAnsi="Georgia"/>
          <w:color w:val="1A1A1A"/>
          <w:sz w:val="24"/>
          <w:szCs w:val="24"/>
        </w:rPr>
        <w:t>How does the platform interact with the Faircloth Amendment's prohibition on net new public housing construction? Public housing has declined in scope for two decades; the platform could in principle support its revival or accept its continued decline.</w:t>
      </w:r>
    </w:p>
    <w:p>
      <w:pPr>
        <w:spacing w:after="240" w:line="340"/>
        <w:jc w:val="both"/>
      </w:pPr>
      <w:r>
        <w:rPr>
          <w:rFonts w:ascii="Georgia" w:cs="Georgia" w:eastAsia="Georgia" w:hAnsi="Georgia"/>
          <w:color w:val="1A1A1A"/>
          <w:sz w:val="24"/>
          <w:szCs w:val="24"/>
        </w:rPr>
        <w:t>What is the platform's relationship to broader housing supply policy? Housing affordability is affected by supply constraints (zoning, construction costs, NIMBY opposition) more than by demand subsidies. The platform's federal-cooperation framework could in principle include housing supply incentives but currently does not.</w:t>
      </w:r>
    </w:p>
    <w:p>
      <w:pPr>
        <w:pStyle w:val="Heading1"/>
      </w:pPr>
      <w:r>
        <w:t>Platform Effect on Housing Markets</w:t>
      </w:r>
    </w:p>
    <w:p>
      <w:pPr>
        <w:pStyle w:val="Normal"/>
        <w:spacing w:after="240" w:before="480"/>
      </w:pPr>
      <w:r>
        <w:rPr>
          <w:rFonts w:ascii="Arial" w:cs="Arial" w:eastAsia="Arial" w:hAnsi="Arial"/>
          <w:b/>
          <w:bCs/>
          <w:color w:val="1F4E78"/>
          <w:sz w:val="36"/>
          <w:szCs w:val="36"/>
        </w:rPr>
        <w:t>This section articulates the platform's response framework for housing-market interaction questions raised in Open Issues Registry RESEARCH-2. Comprehensive housing-market modeling requires housing supply elasticity expertise the platform does not currently have. What this section provides is articulation of the channels through which the platform affects housing demand, what reasonable bounds exist on each channel, and how the platform would respond if expert review produced findings of substantial market disruption in either direction.</w:t>
      </w:r>
    </w:p>
    <w:p>
      <w:pPr>
        <w:pStyle w:val="Heading2"/>
        <w:spacing w:after="160" w:before="360"/>
      </w:pPr>
      <w:r>
        <w:rPr>
          <w:rFonts w:ascii="Arial" w:cs="Arial" w:eastAsia="Arial" w:hAnsi="Arial"/>
          <w:b/>
          <w:bCs/>
          <w:color w:val="1F4E78"/>
          <w:sz w:val="28"/>
          <w:szCs w:val="28"/>
        </w:rPr>
        <w:t>Three Channels of Housing-Market Interaction</w:t>
      </w:r>
    </w:p>
    <w:p>
      <w:pPr>
        <w:pStyle w:val="Normal"/>
        <w:spacing w:after="240" w:before="480"/>
      </w:pPr>
      <w:r>
        <w:rPr>
          <w:rFonts w:ascii="Arial" w:cs="Arial" w:eastAsia="Arial" w:hAnsi="Arial"/>
          <w:b/>
          <w:bCs/>
          <w:color w:val="1F4E78"/>
          <w:sz w:val="36"/>
          <w:szCs w:val="36"/>
        </w:rPr>
        <w:t>First channel: universal childcare. Universal childcare access frees approximately $10,000 to $20,000 per household-with-young-children annually that currently goes to childcare costs. For households in markets where housing cost is the dominant household budget item, much of this freed cash flow will go toward housing — either toward housing upgrades within current markets or toward purchase decisions previously deferred. Aggregate effect on housing demand from approximately 12 million households-with-young-children is potentially $120-240 billion annually in additional housing budget capacity. The geographic distribution matters substantially: in supply-constrained metros (San Francisco, New York, Los Angeles, Boston, Seattle, Washington DC), additional demand without supply response would translate into price appreciation; in supply-elastic markets (much of the South and Midwest), additional demand translates more into housing-quality improvements and homeownership.</w:t>
      </w:r>
    </w:p>
    <w:p>
      <w:pPr>
        <w:pStyle w:val="Normal"/>
        <w:spacing w:after="240" w:before="480"/>
      </w:pPr>
      <w:r>
        <w:rPr>
          <w:rFonts w:ascii="Arial" w:cs="Arial" w:eastAsia="Arial" w:hAnsi="Arial"/>
          <w:b/>
          <w:bCs/>
          <w:color w:val="1F4E78"/>
          <w:sz w:val="36"/>
          <w:szCs w:val="36"/>
        </w:rPr>
        <w:t>Second channel: empirical wage floors. Raising wages for the approximately 20.5 million workers below their occupation's 25th-percentile floor adds aggregate income that is partially captured by housing markets. The aggregate income effect is on the order of $500-800 billion annually depending on floor implementation details. Housing's share of consumption among low-income workers is approximately 35-45 percent, suggesting housing-market demand implications of $175-360 billion annually. As with the childcare channel, the price-versus-quantity split depends entirely on local supply elasticity.</w:t>
      </w:r>
    </w:p>
    <w:p>
      <w:pPr>
        <w:pStyle w:val="Normal"/>
        <w:spacing w:after="240" w:before="480"/>
      </w:pPr>
      <w:r>
        <w:rPr>
          <w:rFonts w:ascii="Arial" w:cs="Arial" w:eastAsia="Arial" w:hAnsi="Arial"/>
          <w:b/>
          <w:bCs/>
          <w:color w:val="1F4E78"/>
          <w:sz w:val="36"/>
          <w:szCs w:val="36"/>
        </w:rPr>
        <w:t>Third channel: Sovereign Fund disbursements affecting interest rates. The Sovereign Fund's accumulation increases national savings by approximately $1-2 trillion annually at maturity, which empirical literature on national savings rates suggests would reduce long-term real interest rates by perhaps 50-150 basis points. Mortgage rates would correspondingly decline by similar amounts. Lower mortgage rates increase housing demand at any given price level. This channel operates at multi-decade timescales but is the largest single channel by magnitude when fully matured.</w:t>
      </w:r>
    </w:p>
    <w:p>
      <w:pPr>
        <w:pStyle w:val="Heading2"/>
        <w:spacing w:after="160" w:before="360"/>
      </w:pPr>
      <w:r>
        <w:rPr>
          <w:rFonts w:ascii="Arial" w:cs="Arial" w:eastAsia="Arial" w:hAnsi="Arial"/>
          <w:b/>
          <w:bCs/>
          <w:color w:val="1F4E78"/>
          <w:sz w:val="28"/>
          <w:szCs w:val="28"/>
        </w:rPr>
        <w:t>Reasonable Bounds on Net Effect</w:t>
      </w:r>
    </w:p>
    <w:p>
      <w:pPr>
        <w:pStyle w:val="Normal"/>
        <w:spacing w:after="240" w:before="480"/>
      </w:pPr>
      <w:r>
        <w:rPr>
          <w:rFonts w:ascii="Arial" w:cs="Arial" w:eastAsia="Arial" w:hAnsi="Arial"/>
          <w:b/>
          <w:bCs/>
          <w:color w:val="1F4E78"/>
          <w:sz w:val="36"/>
          <w:szCs w:val="36"/>
        </w:rPr>
        <w:t>The platform's net effect on housing affordability depends on the balance of demand-side amplification (substantial in all three channels) versus supply response (which the platform does not address). In high-elasticity housing markets, the platform likely improves housing affordability for low- and moderate-income households even with no supply intervention because rising incomes outpace rising prices. In low-elasticity housing markets, the platform may substantially worsen affordability if income increases are captured by price appreciation. The wide range of possible outcomes (from substantial affordability improvement to substantial worsening) is itself the honest finding: the platform is not housing-market-neutral.</w:t>
      </w:r>
    </w:p>
    <w:p>
      <w:pPr>
        <w:pStyle w:val="Heading2"/>
        <w:spacing w:after="160" w:before="360"/>
      </w:pPr>
      <w:r>
        <w:rPr>
          <w:rFonts w:ascii="Arial" w:cs="Arial" w:eastAsia="Arial" w:hAnsi="Arial"/>
          <w:b/>
          <w:bCs/>
          <w:color w:val="1F4E78"/>
          <w:sz w:val="28"/>
          <w:szCs w:val="28"/>
        </w:rPr>
        <w:t>Platform Response Framework Under Different Findings</w:t>
      </w:r>
    </w:p>
    <w:p>
      <w:pPr>
        <w:pStyle w:val="Normal"/>
        <w:spacing w:after="240" w:before="480"/>
      </w:pPr>
      <w:r>
        <w:rPr>
          <w:rFonts w:ascii="Arial" w:cs="Arial" w:eastAsia="Arial" w:hAnsi="Arial"/>
          <w:b/>
          <w:bCs/>
          <w:color w:val="1F4E78"/>
          <w:sz w:val="36"/>
          <w:szCs w:val="36"/>
        </w:rPr>
        <w:t>If expert review finds the platform substantially worsens affordability in supply-constrained markets: the platform's response is that housing supply policy is genuinely outside the platform's scope, but the platform's success creates the political conditions for housing supply reform that have been historically difficult to achieve. A platform that makes housing affordability worse for millions of households creates pressure for state and local zoning reform, federal housing supply incentives, and other supply-side interventions. The platform's Civic Infrastructure pillar's transportation and water infrastructure investments also enable geographic expansion of housing supply by making more locations viable.</w:t>
      </w:r>
    </w:p>
    <w:p>
      <w:pPr>
        <w:pStyle w:val="Normal"/>
        <w:spacing w:after="240" w:before="480"/>
      </w:pPr>
      <w:r>
        <w:rPr>
          <w:rFonts w:ascii="Arial" w:cs="Arial" w:eastAsia="Arial" w:hAnsi="Arial"/>
          <w:b/>
          <w:bCs/>
          <w:color w:val="1F4E78"/>
          <w:sz w:val="36"/>
          <w:szCs w:val="36"/>
        </w:rPr>
        <w:t>If expert review finds the platform substantially improves affordability through higher incomes outpacing prices: this is the platform's intended outcome and is the most likely outcome in supply-elastic markets, which is where most American workers live. The Section 8 Housing document (this document) describes the platform's interaction with existing federal housing assistance programs, which becomes more effective as low-income workers' incomes rise.</w:t>
      </w:r>
    </w:p>
    <w:p>
      <w:pPr>
        <w:pStyle w:val="Normal"/>
        <w:spacing w:after="240" w:before="480"/>
      </w:pPr>
      <w:r>
        <w:rPr>
          <w:rFonts w:ascii="Arial" w:cs="Arial" w:eastAsia="Arial" w:hAnsi="Arial"/>
          <w:b/>
          <w:bCs/>
          <w:color w:val="1F4E78"/>
          <w:sz w:val="36"/>
          <w:szCs w:val="36"/>
        </w:rPr>
        <w:t>If expert review finds the platform's housing-market effects concentrate in specific metropolitan areas rather than evenly across the country: a regional housing-policy response framework would complement the platform without restructuring its architecture. Federal coordination of housing supply incentives targeted at supply-constrained metros could be added as a future scope expansion. The platform's existing federal-state cooperation framework applies.</w:t>
      </w:r>
    </w:p>
    <w:p>
      <w:pPr>
        <w:pStyle w:val="Heading2"/>
        <w:spacing w:after="160" w:before="360"/>
      </w:pPr>
      <w:r>
        <w:rPr>
          <w:rFonts w:ascii="Arial" w:cs="Arial" w:eastAsia="Arial" w:hAnsi="Arial"/>
          <w:b/>
          <w:bCs/>
          <w:color w:val="1F4E78"/>
          <w:sz w:val="28"/>
          <w:szCs w:val="28"/>
        </w:rPr>
        <w:t>What Still Requires Expert Analysis</w:t>
      </w:r>
    </w:p>
    <w:p>
      <w:pPr>
        <w:pStyle w:val="Normal"/>
        <w:spacing w:after="240" w:before="480"/>
      </w:pPr>
      <w:r>
        <w:rPr>
          <w:rFonts w:ascii="Arial" w:cs="Arial" w:eastAsia="Arial" w:hAnsi="Arial"/>
          <w:b/>
          <w:bCs/>
          <w:color w:val="1F4E78"/>
          <w:sz w:val="36"/>
          <w:szCs w:val="36"/>
        </w:rPr>
        <w:t>Quantitative housing-market modeling at the Census-tract level for the platform's deployment scenarios. Identification of which metropolitan areas face highest affordability risk and which face lowest. Specific recommendations for housing-supply policy complementary to the platform. Interaction with existing federal housing programs (LIHTC, project-based Section 8, public housing) under platform deployment. None of these analyses can be produced without housing economics expertise and supply elasticity modeling tools the platform does not currently include. RESEARCH-2's status is updated to reflect that the platform's response framework is now documented but full resolution requires external expert engagement.</w:t>
      </w:r>
    </w:p>
    <w:p>
      <w:pPr>
        <w:pStyle w:val="Heading1"/>
        <w:spacing w:after="240" w:before="480"/>
      </w:pPr>
      <w:r>
        <w:rPr>
          <w:rFonts w:ascii="Arial" w:cs="Arial" w:eastAsia="Arial" w:hAnsi="Arial"/>
          <w:b/>
          <w:bCs/>
          <w:color w:val="1F4E78"/>
          <w:sz w:val="36"/>
          <w:szCs w:val="36"/>
        </w:rPr>
        <w:t>Closing</w:t>
      </w:r>
    </w:p>
    <w:p>
      <w:pPr>
        <w:spacing w:after="240" w:line="340"/>
        <w:jc w:val="both"/>
      </w:pPr>
      <w:r>
        <w:rPr>
          <w:rFonts w:ascii="Georgia" w:cs="Georgia" w:eastAsia="Georgia" w:hAnsi="Georgia"/>
          <w:color w:val="1A1A1A"/>
          <w:sz w:val="24"/>
          <w:szCs w:val="24"/>
        </w:rPr>
        <w:t>Section 8 housing vouchers are a meaningful federal program serving 5 million households, with mechanical interactions to several platform commitments and substantial unmet need beyond current funded levels. The platform's current commitments interact with Section 8 primarily through the income-calculation effects of universal childcare and universal healthcare, producing net benefit for affected households but with apparent rent increases that require careful communication to avoid political backlash.</w:t>
      </w:r>
    </w:p>
    <w:p>
      <w:pPr>
        <w:spacing w:after="240" w:line="340"/>
        <w:jc w:val="both"/>
      </w:pPr>
      <w:r>
        <w:rPr>
          <w:rFonts w:ascii="Georgia" w:cs="Georgia" w:eastAsia="Georgia" w:hAnsi="Georgia"/>
          <w:color w:val="1A1A1A"/>
          <w:sz w:val="24"/>
          <w:szCs w:val="24"/>
        </w:rPr>
        <w:t>The most consequential platform design choice for Section 8 is whether to commit to expansion. The waitlist problem (12-13 million households eligible but unfunded) represents a substantial distributional gap that the Sovereign Fund's mature steady-state capacity could in principle address. The platform's current silence on housing affordability is a real scope limitation that future versions should consider closing. A future major release (v3.x or beyond) could add housing affordability as a formal pillar with explicit commitment to expanded voucher access, housing supply incentives, and source-of-income discrimination preemption.</w:t>
      </w:r>
    </w:p>
    <w:p>
      <w:pPr>
        <w:spacing w:after="240" w:line="340"/>
        <w:jc w:val="both"/>
      </w:pPr>
      <w:r>
        <w:rPr>
          <w:rFonts w:ascii="Georgia" w:cs="Georgia" w:eastAsia="Georgia" w:hAnsi="Georgia"/>
          <w:color w:val="1A1A1A"/>
          <w:sz w:val="24"/>
          <w:szCs w:val="24"/>
        </w:rPr>
        <w:t>For the current platform scope, Section 8 households should be specifically included in communication planning because their experience of the platform involves mechanical complexity that generic messaging does not address. The childcare-deduction interaction and the medical-deduction interaction produce apparent rent increases that mask substantial net household savings; without specific explanation, affected households may form negative views of policies that benefit them. This is a communication design requirement, not a policy redesign requirement, but it is real.</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Per-Citizen Benefits and Costs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4,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Per-Citizen Benefits and Costs Across the Deployment Timeline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Per-Citizen Benefits and Costs Across the Deployment Timeline</dc:title>
  <dc:creator>Jason Robertson</dc:creator>
  <cp:lastModifiedBy>Un-named</cp:lastModifiedBy>
  <cp:revision>1</cp:revision>
  <dcterms:created xsi:type="dcterms:W3CDTF">2026-05-05T01:39:08.188Z</dcterms:created>
  <dcterms:modified xsi:type="dcterms:W3CDTF">2026-05-05T01:39:08.207Z</dcterms:modified>
</cp:coreProperties>
</file>

<file path=docProps/custom.xml><?xml version="1.0" encoding="utf-8"?>
<Properties xmlns="http://schemas.openxmlformats.org/officeDocument/2006/custom-properties" xmlns:vt="http://schemas.openxmlformats.org/officeDocument/2006/docPropsVTypes"/>
</file>