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Reviewer Recruitment Brief</w:t>
      </w:r>
    </w:p>
    <w:p>
      <w:pPr/>
      <w:r>
        <w:t>An outreach-ready summary of the We The People platform and the twenty-eight open opportunities where credentialed external review would close specific analytical gaps.</w:t>
      </w:r>
    </w:p>
    <w:p>
      <w:pPr/>
      <w:r>
        <w:t>v1.0  ·  Created May 14, 2026 for v3.7.113  ·  Jason Robertson  ·  Companion to 05_External_Engagement_Plan.docx (which contains the detailed engagement specifications). This brief is the front-door pitch; the plan is the back-office substrate.</w:t>
      </w:r>
    </w:p>
    <w:p>
      <w:pPr>
        <w:pStyle w:val="Heading1"/>
      </w:pPr>
      <w:r>
        <w:t>Section 1: The Platform in Ninety Seconds</w:t>
      </w:r>
    </w:p>
    <w:p>
      <w:pPr/>
      <w:r>
        <w:t>We The People is a federal-policy platform organized around twelve pillars — Community Contribution Plan, Empirical Wage Floors, Sovereign Education Fund, Universal Healthcare Access, Universal Childcare, Universal Mental Health Access, Civic Infrastructure, Universal Paid Family Time, Universal Long-Term Care, Federal Housing Investment, Climate Architecture, and Immigration Architecture. Each pillar adapts a proven foreign implementation rather than inventing a new mechanism. The National Health Service informs healthcare; Germany's Kindertagesstätte system informs childcare; Pflegeversicherung informs long-term care; Norway's Government Pension Fund Global informs sovereign capitalization. The platform is universal rather than means-tested, capitalized over a sixty-year horizon toward a one-hundred-twenty-two-trillion-dollar sovereign fund, empirically anchored with every quantitative parameter citing a specific federal data source preserved under cryptographic checksum, and engineered for iteration with every architectural decision logged in an Open Issues Registry. The platform is currently in production-ready candidate state as of version 3.7.95.</w:t>
      </w:r>
    </w:p>
    <w:p>
      <w:pPr/>
      <w:r>
        <w:t>What the platform is not. It is not a partisan publication, a single-authored manifesto, or a finished work expecting passive readers. It is a structured architectural proposal that surfaces its own remaining questions, ships those questions with engagement specifications, and treats credentialed expert review as a necessary component of completion rather than as an optional supplement.</w:t>
      </w:r>
    </w:p>
    <w:p>
      <w:pPr>
        <w:pStyle w:val="Heading1"/>
      </w:pPr>
      <w:r>
        <w:t>Section 2: Why Your Expertise Is Being Requested</w:t>
      </w:r>
    </w:p>
    <w:p>
      <w:pPr/>
      <w:r>
        <w:t>Across the platform's eighty-one tracked issues, twenty-eight remain open pending external credentialed review. These are not gaps from lack of effort — each open item has been documented at the platform-internal level, has an architectural response framework in place, and has been mitigated to the limit of the author's appropriate scope. They are open because closure requires expertise the author appropriately defers to specialists in the relevant discipline.</w:t>
      </w:r>
    </w:p>
    <w:p>
      <w:pPr/>
      <w:r>
        <w:t>The author has been disciplined about distinguishing between what is in scope (analytical architecture, parameter selection from federal data, sensitivity analysis within the author's quantitative training) and what is out of scope (microsimulation at JCT/TPC/Penn Wharton level, constitutional law at depth appropriate for architectural novelty, sovereign-wealth-fund management practice, tribal government-to-government consultation, and similar). The twenty-eight open items each carry an explicit acknowledgment of the discipline required for closure.</w:t>
      </w:r>
    </w:p>
    <w:p>
      <w:pPr>
        <w:pStyle w:val="Heading1"/>
      </w:pPr>
      <w:r>
        <w:t>Section 3: Open Items Organized by Discipline</w:t>
      </w:r>
    </w:p>
    <w:p>
      <w:pPr/>
      <w:r>
        <w:t>The following groupings condense Section 47 of the Open Issues Registry and the 05_External_Engagement_Plan.docx engagement specifications. Each item has a detailed entry in the registry and a structured outreach specification in the plan; the brief here is intended as a fast filter for whether a particular discipline's expertise is relevant.</w:t>
      </w:r>
    </w:p>
    <w:p>
      <w:pPr>
        <w:pStyle w:val="Heading2"/>
      </w:pPr>
      <w:r>
        <w:t>Healthcare and health economics</w:t>
      </w:r>
    </w:p>
    <w:p>
      <w:pPr/>
      <w:r>
        <w:t>Healthcare cost reduction decomposition validation, healthcare provider payment rate-setting mechanism design, healthcare provider compensation channel decomposition. Engagement specifications anticipate analysts familiar with Centers for Medicare and Medicaid Services data, Bureau of Labor Statistics occupational data, and National Health Expenditure accounts.</w:t>
      </w:r>
    </w:p>
    <w:p>
      <w:pPr>
        <w:pStyle w:val="Heading2"/>
      </w:pPr>
      <w:r>
        <w:t>Long-term care economics</w:t>
      </w:r>
    </w:p>
    <w:p>
      <w:pPr/>
      <w:r>
        <w:t>Pillar Nine workforce phase-in trajectory validation, Pillar Nine benefit-cost projection validation, dual-eligible state-Medicaid program integration. Engagement specifications anticipate analysts with long-term-care sector workforce-economics expertise and state-Medicaid program experience.</w:t>
      </w:r>
    </w:p>
    <w:p>
      <w:pPr>
        <w:pStyle w:val="Heading2"/>
      </w:pPr>
      <w:r>
        <w:t>Constitutional and administrative law</w:t>
      </w:r>
    </w:p>
    <w:p>
      <w:pPr/>
      <w:r>
        <w:t>Direct-tax-clause depth analysis for the federal investment fund architecture, immigration federalism analysis post-Arizona v. United States. Engagement specifications anticipate constitutional law scholars with federal-state fiscal authority specialization.</w:t>
      </w:r>
    </w:p>
    <w:p>
      <w:pPr>
        <w:pStyle w:val="Heading2"/>
      </w:pPr>
      <w:r>
        <w:t>Housing economics and policy</w:t>
      </w:r>
    </w:p>
    <w:p>
      <w:pPr/>
      <w:r>
        <w:t>Federal Housing Investment market effects on supply, prices, and regional distribution; integration with existing federal housing programs (Section Eight vouchers, public housing authorities, Low-Income Housing Tax Credit). Engagement specifications anticipate housing economists and Department of Housing and Urban Development policy specialists.</w:t>
      </w:r>
    </w:p>
    <w:p>
      <w:pPr>
        <w:pStyle w:val="Heading2"/>
      </w:pPr>
      <w:r>
        <w:t>Climate and environmental economics</w:t>
      </w:r>
    </w:p>
    <w:p>
      <w:pPr/>
      <w:r>
        <w:t>Carbon-fee distributional incidence analysis using consumption-survey data, per-capita rebate mechanism specification, World Trade Organization-compatible carbon border adjustment design. Engagement specifications anticipate environmental economists familiar with the Regional Greenhouse Gas Initiative, British Columbia carbon-tax-and-rebate, and the European Union Carbon Border Adjustment Mechanism.</w:t>
      </w:r>
    </w:p>
    <w:p>
      <w:pPr>
        <w:pStyle w:val="Heading2"/>
      </w:pPr>
      <w:r>
        <w:t>Education policy and economics</w:t>
      </w:r>
    </w:p>
    <w:p>
      <w:pPr/>
      <w:r>
        <w:t>Curriculum-approval body institutional structure, federally-employed campus liaison program design, doctoral-funding transition mechanics, intensive-support completion-rate validation, counselor workforce buildout timeline. Engagement specifications anticipate education policy scholars and federal-program-design specialists familiar with the USDA Cooperative Extension Service as the closest analogue.</w:t>
      </w:r>
    </w:p>
    <w:p>
      <w:pPr>
        <w:pStyle w:val="Heading2"/>
      </w:pPr>
      <w:r>
        <w:t>Sovereign Fund investment management</w:t>
      </w:r>
    </w:p>
    <w:p>
      <w:pPr/>
      <w:r>
        <w:t>Asset-allocation policy, benchmark selection, active-versus-passive split, ESG integration, four percent real-return scenario validation. Engagement specifications anticipate institutional investors with sovereign-wealth-fund management experience.</w:t>
      </w:r>
    </w:p>
    <w:p>
      <w:pPr>
        <w:pStyle w:val="Heading2"/>
      </w:pPr>
      <w:r>
        <w:t>Macroeconomic and fiscal modeling</w:t>
      </w:r>
    </w:p>
    <w:p>
      <w:pPr/>
      <w:r>
        <w:t>Federal Reserve and monetary policy interaction with sovereign fund accumulation, CBO-equivalent fiscal modeling of net positive immigration impact over ten-year and seventy-five-year windows, intersectional analysis of differential mechanism interaction across sub-populations, sovereign fund four-percent return parallel scenario. Engagement specifications anticipate macroeconomists with federal fiscal-impact-modeling experience.</w:t>
      </w:r>
    </w:p>
    <w:p>
      <w:pPr>
        <w:pStyle w:val="Heading2"/>
      </w:pPr>
      <w:r>
        <w:t>Independent mathematical audit</w:t>
      </w:r>
    </w:p>
    <w:p>
      <w:pPr/>
      <w:r>
        <w:t>Documented audit of the combined reform model under CFA Institute, International Swaps and Derivatives Association, or Federal Reserve Supervisory Letter 11-7 standards. Engagement specification anticipates a documented audit firm with model-risk-management practice.</w:t>
      </w:r>
    </w:p>
    <w:p>
      <w:pPr>
        <w:pStyle w:val="Heading2"/>
      </w:pPr>
      <w:r>
        <w:t>Tribal government-to-government consultation</w:t>
      </w:r>
    </w:p>
    <w:p>
      <w:pPr/>
      <w:r>
        <w:t>Federal infrastructure deployment on tribal nation lands. This is not a research review — it is a sovereign consultation. Engagement specification anticipates established government-to-government channels under Executive Order Thirteen Thousand One Hundred Seventy-Five and the Indian Self-Determination Act.</w:t>
      </w:r>
    </w:p>
    <w:p>
      <w:pPr>
        <w:pStyle w:val="Heading1"/>
      </w:pPr>
      <w:r>
        <w:t>Section 4: What Review Looks Like in Practice</w:t>
      </w:r>
    </w:p>
    <w:p>
      <w:pPr/>
      <w:r>
        <w:t>Each engagement specification in the plan provides four pieces of information for a potential reviewer: what the platform has already done internally and where to find it, what specific analytical task remains, what level of effort the author estimates the review requires, and what artifact the review would produce.</w:t>
      </w:r>
    </w:p>
    <w:p>
      <w:pPr/>
      <w:r>
        <w:t>Three engagement kinds are distinguished. Validation tracks (Kind A) are reviews of existing platform response frameworks against the reviewer's independent methodology. Depth-development tracks (Kind B) are deeper analyses of items the platform has surfaced but not been able to specify with the appropriate institutional knowledge. Independent mathematical audits (Kind C) are formal audits of combined reform models against industry standards. Government-to-government consultation (Kind D) is the singular case of tribal sovereignty engagement.</w:t>
      </w:r>
    </w:p>
    <w:p>
      <w:pPr/>
      <w:r>
        <w:t>A typical Kind A engagement is a focused review producing a written assessment of perhaps fifteen to thirty pages. A typical Kind B engagement is a multi-month structured collaboration producing a substantive new analytical document for the platform. A typical Kind C engagement is a formal audit with a documented opinion. A typical Kind D engagement is a multi-meeting consultation following established sovereignty protocols.</w:t>
      </w:r>
    </w:p>
    <w:p>
      <w:pPr>
        <w:pStyle w:val="Heading1"/>
      </w:pPr>
      <w:r>
        <w:t>Section 5: What the Reviewer Receives</w:t>
      </w:r>
    </w:p>
    <w:p>
      <w:pPr/>
      <w:r>
        <w:t>Documented credit. Every external review is logged in the Open Issues Registry with reviewer attribution, affiliation, the specific item or items reviewed, and the date and version of review. Reviews are public record in the platform's iteration history.</w:t>
      </w:r>
    </w:p>
    <w:p>
      <w:pPr/>
      <w:r>
        <w:t>Authorship recognition where applicable. Substantive analytical contributions are attributed in the relevant pillar substantiation document or analytical framing document with explicit named credit and discipline annotation.</w:t>
      </w:r>
    </w:p>
    <w:p>
      <w:pPr/>
      <w:r>
        <w:t>A working object in the reviewer's domain. The platform is structured to be referenced, not just read. A reviewer in housing economics gains an architectural reference proposal that can be cited in their own work as a contemporary example of a structured federal housing investment design; the same for every other discipline. The platform is comparable to the public-facing architectural reference proposals that policy think tanks produce, but with audited iteration discipline and verbatim federal data substrate.</w:t>
      </w:r>
    </w:p>
    <w:p>
      <w:pPr/>
      <w:r>
        <w:t>Policy impact contingent on platform reach. The platform is currently in production-ready candidate state. If it reaches public-facing deployment and gains policy traction, every reviewer whose work closed an item becomes part of the historical record of how the platform's parameters were validated. This is contingent on adoption, not promised; it is the upside case rather than the expected case.</w:t>
      </w:r>
    </w:p>
    <w:p>
      <w:pPr>
        <w:pStyle w:val="Heading1"/>
      </w:pPr>
      <w:r>
        <w:t>Section 6: How to Engage</w:t>
      </w:r>
    </w:p>
    <w:p>
      <w:pPr/>
      <w:r>
        <w:t>Initial contact. Email or written correspondence to the platform's lead author (contact details on the platform's About page when public-facing deployment is live; alternative contact mechanism documented in the External Engagement Plan during pre-launch).</w:t>
      </w:r>
    </w:p>
    <w:p>
      <w:pPr/>
      <w:r>
        <w:t>Initial materials. The reviewer is provided with the specific Open Issues Registry entry, the relevant pillar substantiation document, and any analytical framing document that contains current quantitative work on the topic. The Reviewer Onboarding Reading Paths section of the plan specifies the canonical reading sequence per discipline (typically four to seven documents totaling sixty to one hundred eighty minutes of preparatory reading).</w:t>
      </w:r>
    </w:p>
    <w:p>
      <w:pPr/>
      <w:r>
        <w:t>Engagement scope agreement. Author and reviewer agree on the engagement kind (A, B, C, or D), the specific item or items in scope, the timeline, the deliverable, and the attribution and credit arrangements. Outreach templates for each engagement kind are included in the External Engagement Plan.</w:t>
      </w:r>
    </w:p>
    <w:p>
      <w:pPr/>
      <w:r>
        <w:t>Closing. When the review is complete, the relevant Open Issues Registry entry is updated to CLOSED, the reviewer's contribution is logged in the platform's iteration narrative, the relevant pillar or analytical framing document is updated to reference the review and its findings, and the engagement is recorded in the External Engagement Plan's reviewer log.</w:t>
      </w:r>
    </w:p>
    <w:p>
      <w:pPr>
        <w:pStyle w:val="Heading1"/>
      </w:pPr>
      <w:r>
        <w:t>Cross-References</w:t>
      </w:r>
    </w:p>
    <w:p>
      <w:pPr/>
      <w:r>
        <w:t>This brief is intentionally short and pitch-oriented. The companion documents provide the detail.</w:t>
      </w:r>
    </w:p>
    <w:p>
      <w:pPr/>
      <w:r>
        <w:t>05_External_Engagement_Plan.docx — the detailed engagement specifications for each open item, the four engagement kinds, the reviewer onboarding reading paths, and the outreach templates.</w:t>
      </w:r>
    </w:p>
    <w:p>
      <w:pPr/>
      <w:r>
        <w:t>09_Meta_Tracking/09_Open_Issues_Registry.docx — the full eighty-one-item registry with status, mitigation, and engagement-specification cross-references.</w:t>
      </w:r>
    </w:p>
    <w:p>
      <w:pPr/>
      <w:r>
        <w:t>01_Start_Here/01_Platform_Package_Version.docx — the platform's iteration anchor; every architectural decision and every parameter is traceable from here.</w:t>
      </w:r>
    </w:p>
    <w:p>
      <w:pPr/>
      <w:r>
        <w:t>06_Presentation_Materials/06_Platform_Architecture.html — the diagrammatic overview of the platform for reviewers who want a visual orientation before reading the substantiation documents.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