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00"/>
      </w:pPr>
      <w:r>
        <w:t xml:space="preserve"/>
      </w:r>
    </w:p>
    <w:p>
      <w:pPr>
        <w:spacing w:after="100"/>
        <w:jc w:val="center"/>
      </w:pPr>
      <w:r>
        <w:rPr>
          <w:rFonts w:ascii="Arial" w:cs="Arial" w:eastAsia="Arial" w:hAnsi="Arial"/>
          <w:b/>
          <w:bCs/>
          <w:color w:val="1F4E78"/>
          <w:sz w:val="56"/>
          <w:szCs w:val="56"/>
        </w:rPr>
        <w:t xml:space="preserve">REPAIRING THE PAST</w:t>
      </w:r>
    </w:p>
    <w:p>
      <w:pPr>
        <w:spacing w:after="200"/>
        <w:jc w:val="center"/>
      </w:pPr>
      <w:r>
        <w:rPr>
          <w:rFonts w:ascii="Arial" w:cs="Arial" w:eastAsia="Arial" w:hAnsi="Arial"/>
          <w:i/>
          <w:iCs/>
          <w:color w:val="C00000"/>
          <w:sz w:val="26"/>
          <w:szCs w:val="26"/>
        </w:rPr>
        <w:t xml:space="preserve">Retroactive Debt Retirement Through Platform Maturity</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6"/>
          <w:szCs w:val="26"/>
        </w:rPr>
        <w:t xml:space="preserve">Phased relief for student loan and medical debt</w:t>
      </w:r>
    </w:p>
    <w:p>
      <w:pPr>
        <w:spacing w:after="1200"/>
        <w:jc w:val="center"/>
      </w:pPr>
      <w:r>
        <w:rPr>
          <w:rFonts w:ascii="Georgia" w:cs="Georgia" w:eastAsia="Georgia" w:hAnsi="Georgia"/>
          <w:i/>
          <w:iCs/>
          <w:color w:val="1A1A1A"/>
          <w:sz w:val="26"/>
          <w:szCs w:val="26"/>
        </w:rPr>
        <w:t xml:space="preserve">from surplus capacity in the platform's pillars.</w:t>
      </w:r>
    </w:p>
    <w:p>
      <w:pPr>
        <w:spacing w:before="1600"/>
      </w:pPr>
      <w:r>
        <w:t xml:space="preserve"/>
      </w:r>
    </w:p>
    <w:p>
      <w:pPr>
        <w:spacing w:after="80"/>
        <w:jc w:val="center"/>
      </w:pPr>
      <w:r>
        <w:rPr>
          <w:rFonts w:ascii="Georgia" w:cs="Georgia" w:eastAsia="Georgia" w:hAnsi="Georgia"/>
          <w:i/>
          <w:iCs/>
          <w:color w:val="595959"/>
          <w:sz w:val="22"/>
          <w:szCs w:val="22"/>
        </w:rPr>
        <w:t xml:space="preserve">A Retroactive Debt Retirement Analysis</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 xml:space="preserve">v1.0  ·  Created May 2026  ·  Updated May 3, 2026</w:t>
      </w:r>
    </w:p>
    <w:p>
      <w:pPr>
        <w:jc w:val="center"/>
      </w:pPr>
      <w:r>
        <w:rPr>
          <w:rFonts w:ascii="Georgia" w:cs="Georgia" w:eastAsia="Georgia" w:hAnsi="Georgia"/>
          <w:color w:val="595959"/>
          <w:sz w:val="20"/>
          <w:szCs w:val="20"/>
        </w:rPr>
        <w:t xml:space="preserve">Ohio  ·  2026</w:t>
      </w:r>
    </w:p>
    <w:p>
      <w:r>
        <w:br w:type="page"/>
      </w:r>
    </w:p>
    <w:p>
      <w:pPr>
        <w:pStyle w:val="Heading1"/>
        <w:spacing w:after="240" w:before="480"/>
      </w:pPr>
      <w:r>
        <w:rPr>
          <w:rFonts w:ascii="Arial" w:cs="Arial" w:eastAsia="Arial" w:hAnsi="Arial"/>
          <w:b/>
          <w:bCs/>
          <w:color w:val="1F4E78"/>
          <w:sz w:val="36"/>
          <w:szCs w:val="36"/>
        </w:rPr>
        <w:t xml:space="preserve">The Question Behind the Analysis</w:t>
      </w:r>
    </w:p>
    <w:p>
      <w:pPr>
        <w:spacing w:after="240" w:line="340"/>
        <w:jc w:val="both"/>
      </w:pPr>
      <w:r>
        <w:rPr>
          <w:rFonts w:ascii="Georgia" w:cs="Georgia" w:eastAsia="Georgia" w:hAnsi="Georgia"/>
          <w:color w:val="1A1A1A"/>
          <w:sz w:val="24"/>
          <w:szCs w:val="24"/>
        </w:rPr>
        <w:t xml:space="preserve">The platform addresses problems going forward. But what about people who suffered under the system the platform replaces? Citizens carrying student loans they couldn't have afforded under the platform's education architecture. Citizens carrying medical debt they wouldn't have accumulated under the platform's healthcare architecture. Should the platform's mechanisms reach backward to repair the harms the previous system produced, or only forward to prevent new ones?</w:t>
      </w:r>
    </w:p>
    <w:p>
      <w:pPr>
        <w:spacing w:after="200" w:line="320"/>
        <w:jc w:val="both"/>
      </w:pPr>
      <w:r>
        <w:rPr>
          <w:rFonts w:ascii="Georgia" w:cs="Georgia" w:eastAsia="Georgia" w:hAnsi="Georgia"/>
          <w:color w:val="1A1A1A"/>
          <w:sz w:val="22"/>
          <w:szCs w:val="22"/>
        </w:rPr>
        <w:t xml:space="preserve">This document answers that question with a yes — the platform can retire existing student loan and medical debt retroactively, in phases, as the platform's pillars mature and produce surplus capacity. The mechanism does not require new contribution rates or new tax structures. It uses the surplus that the existing pillars naturally produce as they reach scale, redirected from accumulation to retroactive obligation.</w:t>
      </w:r>
    </w:p>
    <w:p>
      <w:pPr>
        <w:spacing w:after="200" w:line="320"/>
        <w:jc w:val="both"/>
      </w:pPr>
      <w:r>
        <w:rPr>
          <w:rFonts w:ascii="Georgia" w:cs="Georgia" w:eastAsia="Georgia" w:hAnsi="Georgia"/>
          <w:color w:val="1A1A1A"/>
          <w:sz w:val="22"/>
          <w:szCs w:val="22"/>
        </w:rPr>
        <w:t>The analysis depends on platform mathematical models already documented in earlier package materials. The Sovereign Fund's growth trajectory comes from the Combined Reform Model. The healthcare pillar's surplus comes from the universal healthcare Model. What this document adds is the application of those existing surplus capacities to a question the platform's earlier documents didn't directly address: how to repair what the previous system damaged.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“Universal infrastructure built for the future has the capacity to repair some of what the past damaged. The platform's surplus capacity is not just for forward investment. It can also be retroactive repair.”</w:t>
            </w:r>
          </w:p>
        </w:tc>
      </w:tr>
    </w:tbl>
    <w:p>
      <w:r>
        <w:br w:type="page"/>
      </w:r>
    </w:p>
    <w:p>
      <w:pPr>
        <w:pStyle w:val="Heading1"/>
        <w:spacing w:after="240" w:before="480"/>
      </w:pPr>
      <w:r>
        <w:rPr>
          <w:rFonts w:ascii="Arial" w:cs="Arial" w:eastAsia="Arial" w:hAnsi="Arial"/>
          <w:b/>
          <w:bCs/>
          <w:color w:val="1F4E78"/>
          <w:sz w:val="36"/>
          <w:szCs w:val="36"/>
        </w:rPr>
        <w:t xml:space="preserve">The Current Magnitude of the Two Debts</w:t>
      </w:r>
    </w:p>
    <w:p>
      <w:pPr>
        <w:spacing w:after="240" w:line="340"/>
        <w:jc w:val="both"/>
      </w:pPr>
      <w:r>
        <w:rPr>
          <w:rFonts w:ascii="Georgia" w:cs="Georgia" w:eastAsia="Georgia" w:hAnsi="Georgia"/>
          <w:color w:val="1A1A1A"/>
          <w:sz w:val="24"/>
          <w:szCs w:val="24"/>
        </w:rPr>
        <w:t xml:space="preserve">Understanding what's possible requires understanding what's owed. The two debts the platform's architecture can address — student loans and medical debt — differ by an order of magnitude in size and by orders of magnitude in their structural causes. The retroactive retirement strategies must reflect these differences.</w:t>
      </w:r>
    </w:p>
    <w:p>
      <w:pPr>
        <w:pStyle w:val="Heading2"/>
        <w:spacing w:after="160" w:before="360"/>
      </w:pPr>
      <w:r>
        <w:rPr>
          <w:rFonts w:ascii="Arial" w:cs="Arial" w:eastAsia="Arial" w:hAnsi="Arial"/>
          <w:b/>
          <w:bCs/>
          <w:color w:val="1F4E78"/>
          <w:sz w:val="28"/>
          <w:szCs w:val="28"/>
        </w:rPr>
        <w:t xml:space="preserve">Student Loan Debt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As of early 2026</w:t>
            </w:r>
          </w:p>
          <w:p>
            <w:pPr>
              <w:spacing w:after="100" w:line="280"/>
            </w:pPr>
            <w:r>
              <w:rPr>
                <w:rFonts w:ascii="Georgia" w:cs="Georgia" w:eastAsia="Georgia" w:hAnsi="Georgia"/>
                <w:color w:val="1A1A1A"/>
                <w:sz w:val="21"/>
                <w:szCs w:val="21"/>
              </w:rPr>
              <w:t xml:space="preserve">•  Federal student loan portfolio: approximately $1.65 trillion</w:t>
            </w:r>
          </w:p>
          <w:p>
            <w:pPr>
              <w:spacing w:after="100" w:line="280"/>
            </w:pPr>
            <w:r>
              <w:rPr>
                <w:rFonts w:ascii="Georgia" w:cs="Georgia" w:eastAsia="Georgia" w:hAnsi="Georgia"/>
                <w:color w:val="1A1A1A"/>
                <w:sz w:val="21"/>
                <w:szCs w:val="21"/>
              </w:rPr>
              <w:t xml:space="preserve">•  Held by approximately 43 million borrowers</w:t>
            </w:r>
          </w:p>
          <w:p>
            <w:pPr>
              <w:spacing w:after="100" w:line="280"/>
            </w:pPr>
            <w:r>
              <w:rPr>
                <w:rFonts w:ascii="Georgia" w:cs="Georgia" w:eastAsia="Georgia" w:hAnsi="Georgia"/>
                <w:color w:val="1A1A1A"/>
                <w:sz w:val="21"/>
                <w:szCs w:val="21"/>
              </w:rPr>
              <w:t xml:space="preserve">•  Private student loans add approximately $130 billion held by ~3 million borrowers</w:t>
            </w:r>
          </w:p>
          <w:p>
            <w:pPr>
              <w:spacing w:after="100" w:line="280"/>
            </w:pPr>
            <w:r>
              <w:rPr>
                <w:rFonts w:ascii="Georgia" w:cs="Georgia" w:eastAsia="Georgia" w:hAnsi="Georgia"/>
                <w:color w:val="1A1A1A"/>
                <w:sz w:val="21"/>
                <w:szCs w:val="21"/>
              </w:rPr>
              <w:t xml:space="preserve">•  Combined total: approximately $1.78 trillion across ~46 million Americans</w:t>
            </w:r>
          </w:p>
          <w:p>
            <w:pPr>
              <w:spacing w:after="100" w:line="280"/>
            </w:pPr>
            <w:r>
              <w:rPr>
                <w:rFonts w:ascii="Georgia" w:cs="Georgia" w:eastAsia="Georgia" w:hAnsi="Georgia"/>
                <w:color w:val="1A1A1A"/>
                <w:sz w:val="21"/>
                <w:szCs w:val="21"/>
              </w:rPr>
              <w:t xml:space="preserve">•  Average debt per borrower: approximately $38,700</w:t>
            </w:r>
          </w:p>
          <w:p>
            <w:pPr>
              <w:spacing w:after="100" w:line="280"/>
            </w:pPr>
            <w:r>
              <w:rPr>
                <w:rFonts w:ascii="Georgia" w:cs="Georgia" w:eastAsia="Georgia" w:hAnsi="Georgia"/>
                <w:color w:val="1A1A1A"/>
                <w:sz w:val="21"/>
                <w:szCs w:val="21"/>
              </w:rPr>
              <w:t xml:space="preserve">•  These figures reflect data current through the platform's analytical work; actual figures should be verified against current sources before treating as authoritative</w:t>
            </w:r>
          </w:p>
        </w:tc>
      </w:tr>
    </w:tbl>
    <w:p>
      <w:pPr>
        <w:spacing w:after="200" w:line="320"/>
        <w:jc w:val="both"/>
      </w:pPr>
      <w:r>
        <w:rPr>
          <w:rFonts w:ascii="Georgia" w:cs="Georgia" w:eastAsia="Georgia" w:hAnsi="Georgia"/>
          <w:color w:val="1A1A1A"/>
          <w:sz w:val="22"/>
          <w:szCs w:val="22"/>
        </w:rPr>
        <w:t xml:space="preserve">The structural causes of student loan debt are well-documented. Federal aid eligibility expanded faster than institutional cost discipline, allowing higher education institutions to raise prices to capture maximum federal aid amounts rather than to cover delivery costs. The platform addresses this going forward through cost-based pricing tied to field-of-study formulas. But the debt accumulated under the previous system remains, affecting tens of millions of Americans whose financial lives are constrained by it.</w:t>
      </w:r>
    </w:p>
    <w:p>
      <w:pPr>
        <w:pStyle w:val="Heading2"/>
        <w:spacing w:after="160" w:before="360"/>
      </w:pPr>
      <w:r>
        <w:rPr>
          <w:rFonts w:ascii="Arial" w:cs="Arial" w:eastAsia="Arial" w:hAnsi="Arial"/>
          <w:b/>
          <w:bCs/>
          <w:color w:val="1F4E78"/>
          <w:sz w:val="28"/>
          <w:szCs w:val="28"/>
        </w:rPr>
        <w:t xml:space="preserve">Medical Debt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As of early 2026 (Kaiser Family Foundation analysis)</w:t>
            </w:r>
          </w:p>
          <w:p>
            <w:pPr>
              <w:spacing w:after="100" w:line="280"/>
            </w:pPr>
            <w:r>
              <w:rPr>
                <w:rFonts w:ascii="Georgia" w:cs="Georgia" w:eastAsia="Georgia" w:hAnsi="Georgia"/>
                <w:color w:val="1A1A1A"/>
                <w:sz w:val="21"/>
                <w:szCs w:val="21"/>
              </w:rPr>
              <w:t xml:space="preserve">•  Total medical debt held by Americans: approximately $220 billion</w:t>
            </w:r>
          </w:p>
          <w:p>
            <w:pPr>
              <w:spacing w:after="100" w:line="280"/>
            </w:pPr>
            <w:r>
              <w:rPr>
                <w:rFonts w:ascii="Georgia" w:cs="Georgia" w:eastAsia="Georgia" w:hAnsi="Georgia"/>
                <w:color w:val="1A1A1A"/>
                <w:sz w:val="21"/>
                <w:szCs w:val="21"/>
              </w:rPr>
              <w:t xml:space="preserve">•  Medical debt in collections: approximately $88 billion</w:t>
            </w:r>
          </w:p>
          <w:p>
            <w:pPr>
              <w:spacing w:after="100" w:line="280"/>
            </w:pPr>
            <w:r>
              <w:rPr>
                <w:rFonts w:ascii="Georgia" w:cs="Georgia" w:eastAsia="Georgia" w:hAnsi="Georgia"/>
                <w:color w:val="1A1A1A"/>
                <w:sz w:val="21"/>
                <w:szCs w:val="21"/>
              </w:rPr>
              <w:t xml:space="preserve">•  Approximately 100 million American adults have some medical debt</w:t>
            </w:r>
          </w:p>
          <w:p>
            <w:pPr>
              <w:spacing w:after="100" w:line="280"/>
            </w:pPr>
            <w:r>
              <w:rPr>
                <w:rFonts w:ascii="Georgia" w:cs="Georgia" w:eastAsia="Georgia" w:hAnsi="Georgia"/>
                <w:color w:val="1A1A1A"/>
                <w:sz w:val="21"/>
                <w:szCs w:val="21"/>
              </w:rPr>
              <w:t xml:space="preserve">•  Average debt for those affected: approximately $2,200</w:t>
            </w:r>
          </w:p>
          <w:p>
            <w:pPr>
              <w:spacing w:after="100" w:line="280"/>
            </w:pPr>
            <w:r>
              <w:rPr>
                <w:rFonts w:ascii="Georgia" w:cs="Georgia" w:eastAsia="Georgia" w:hAnsi="Georgia"/>
                <w:color w:val="1A1A1A"/>
                <w:sz w:val="21"/>
                <w:szCs w:val="21"/>
              </w:rPr>
              <w:t xml:space="preserve">•  These figures vary substantially across studies because medical debt is harder to measure than student loan debt</w:t>
            </w:r>
          </w:p>
          <w:p>
            <w:pPr>
              <w:spacing w:after="100" w:line="280"/>
            </w:pPr>
            <w:r>
              <w:rPr>
                <w:rFonts w:ascii="Georgia" w:cs="Georgia" w:eastAsia="Georgia" w:hAnsi="Georgia"/>
                <w:color w:val="1A1A1A"/>
                <w:sz w:val="21"/>
                <w:szCs w:val="21"/>
              </w:rPr>
              <w:t xml:space="preserve">•  Approximately 41% of US adults report having some medical debt according to KFF surveys</w:t>
            </w:r>
          </w:p>
        </w:tc>
      </w:tr>
    </w:tbl>
    <w:p>
      <w:pPr>
        <w:spacing w:after="200" w:line="320"/>
        <w:jc w:val="both"/>
      </w:pPr>
      <w:r>
        <w:rPr>
          <w:rFonts w:ascii="Georgia" w:cs="Georgia" w:eastAsia="Georgia" w:hAnsi="Georgia"/>
          <w:color w:val="1A1A1A"/>
          <w:sz w:val="22"/>
          <w:szCs w:val="22"/>
        </w:rPr>
        <w:t xml:space="preserve">Medical debt's structural causes are different from student loan debt. Most Americans incur medical debt not because they made poor decisions but because they encountered medical events while inadequately insured, faced surprise billing, or experienced gaps between insurance and actual costs. The platform addresses this going forward through universal healthcare. But the medical debt accumulated under the previous system remains, affecting roughly 100 million American adults.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The two debts are radically different in scale: student loans are roughly eight times larger than total medical debt. The retirement strategies must therefore differ substantially in timeline and mechanism.</w:t>
            </w:r>
          </w:p>
        </w:tc>
      </w:tr>
    </w:tbl>
    <w:p>
      <w:r>
        <w:br w:type="page"/>
      </w:r>
    </w:p>
    <w:p>
      <w:pPr>
        <w:pStyle w:val="Heading1"/>
        <w:spacing w:after="240" w:before="480"/>
      </w:pPr>
      <w:r>
        <w:rPr>
          <w:rFonts w:ascii="Arial" w:cs="Arial" w:eastAsia="Arial" w:hAnsi="Arial"/>
          <w:b/>
          <w:bCs/>
          <w:color w:val="1F4E78"/>
          <w:sz w:val="36"/>
          <w:szCs w:val="36"/>
        </w:rPr>
        <w:t xml:space="preserve">Sovereign Fund Surplus Capacity</w:t>
      </w:r>
    </w:p>
    <w:p>
      <w:pPr>
        <w:spacing w:after="240" w:line="340"/>
        <w:jc w:val="both"/>
      </w:pPr>
      <w:r>
        <w:rPr>
          <w:rFonts w:ascii="Georgia" w:cs="Georgia" w:eastAsia="Georgia" w:hAnsi="Georgia"/>
          <w:color w:val="1A1A1A"/>
          <w:sz w:val="24"/>
          <w:szCs w:val="24"/>
        </w:rPr>
        <w:t xml:space="preserve">The platform's Sovereign Fund grows according to a trajectory documented in the Combined Reform Model. The fund's annual disbursement at the platform's standard 1.2% rate produces capacity that grows substantially across the platform's first few decades. This is the capacity available for retroactive student loan retirement.</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19"/>
                <w:szCs w:val="19"/>
              </w:rPr>
              <w:t xml:space="preserve">Platform Year</w:t>
            </w:r>
          </w:p>
        </w:tc>
        <w:tc>
          <w:tcPr>
            <w:tcW w:type="dxa" w:w="30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Sovereign Fund Balance</w:t>
            </w:r>
          </w:p>
        </w:tc>
        <w:tc>
          <w:tcPr>
            <w:tcW w:type="dxa" w:w="30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Annual 1.2% Disbursement</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Year 5</w:t>
            </w:r>
          </w:p>
        </w:tc>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$1.8 trillion</w:t>
            </w:r>
          </w:p>
        </w:tc>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$22 billion/yr</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Year 10</w:t>
            </w:r>
          </w:p>
        </w:tc>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$5.5 trillion</w:t>
            </w:r>
          </w:p>
        </w:tc>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$66 billion/yr</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Year 15</w:t>
            </w:r>
          </w:p>
        </w:tc>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$11 trillion</w:t>
            </w:r>
          </w:p>
        </w:tc>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$132 billion/yr</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Year 20</w:t>
            </w:r>
          </w:p>
        </w:tc>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$22 trillion</w:t>
            </w:r>
          </w:p>
        </w:tc>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$264 billion/yr</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Year 25</w:t>
            </w:r>
          </w:p>
        </w:tc>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$38 trillion</w:t>
            </w:r>
          </w:p>
        </w:tc>
        <w:tc>
          <w:tcPr>
            <w:tcW w:type="dxa" w:w="30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$456 billion/yr</w:t>
            </w:r>
          </w:p>
        </w:tc>
      </w:tr>
      <w:tr>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Year 30</w:t>
            </w:r>
          </w:p>
        </w:tc>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$60 trillion</w:t>
            </w:r>
          </w:p>
        </w:tc>
        <w:tc>
          <w:tcPr>
            <w:tcW w:type="dxa" w:w="30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$720 billion/yr</w:t>
            </w:r>
          </w:p>
        </w:tc>
      </w:tr>
    </w:tbl>
    <w:p>
      <w:pPr>
        <w:spacing w:after="300"/>
      </w:pPr>
      <w:r>
        <w:t xml:space="preserve"/>
      </w:r>
    </w:p>
    <w:p>
      <w:pPr>
        <w:spacing w:after="200" w:line="320"/>
        <w:jc w:val="both"/>
      </w:pPr>
      <w:r>
        <w:rPr>
          <w:rFonts w:ascii="Georgia" w:cs="Georgia" w:eastAsia="Georgia" w:hAnsi="Georgia"/>
          <w:color w:val="1A1A1A"/>
          <w:sz w:val="22"/>
          <w:szCs w:val="22"/>
        </w:rPr>
        <w:t xml:space="preserve">The fund's primary purpose is funding the Sovereign Education Fund's ongoing disbursements to current students. But the trajectory shows substantial surplus capacity emerging during the platform's maturation period. By Year 15 the annual disbursement exceeds $130 billion. By Year 20 it exceeds a quarter trillion. By Year 30 the annual disbursement at 1.2% is comparable in scale to current federal discretionary education spending.</w:t>
      </w:r>
    </w:p>
    <w:p>
      <w:pPr>
        <w:spacing w:after="200" w:line="320"/>
        <w:jc w:val="both"/>
      </w:pPr>
      <w:r>
        <w:rPr>
          <w:rFonts w:ascii="Georgia" w:cs="Georgia" w:eastAsia="Georgia" w:hAnsi="Georgia"/>
          <w:color w:val="1A1A1A"/>
          <w:sz w:val="22"/>
          <w:szCs w:val="22"/>
        </w:rPr>
        <w:t xml:space="preserve">This means student loan retirement does not require additional contribution rates or new revenue streams. It requires deciding to direct some portion of the fund's growing surplus toward retroactive obligation rather than allowing it to accumulate indefinitely. The capacity exists. The question is policy.</w:t>
      </w:r>
    </w:p>
    <w:p>
      <w:r>
        <w:br w:type="page"/>
      </w:r>
    </w:p>
    <w:p>
      <w:pPr>
        <w:pStyle w:val="Heading1"/>
        <w:spacing w:after="240" w:before="480"/>
      </w:pPr>
      <w:r>
        <w:rPr>
          <w:rFonts w:ascii="Arial" w:cs="Arial" w:eastAsia="Arial" w:hAnsi="Arial"/>
          <w:b/>
          <w:bCs/>
          <w:color w:val="1F4E78"/>
          <w:sz w:val="36"/>
          <w:szCs w:val="36"/>
        </w:rPr>
        <w:t xml:space="preserve">Student Loan Retirement Scenarios</w:t>
      </w:r>
    </w:p>
    <w:p>
      <w:pPr>
        <w:spacing w:after="240" w:line="340"/>
        <w:jc w:val="both"/>
      </w:pPr>
      <w:r>
        <w:rPr>
          <w:rFonts w:ascii="Georgia" w:cs="Georgia" w:eastAsia="Georgia" w:hAnsi="Georgia"/>
          <w:color w:val="1A1A1A"/>
          <w:sz w:val="24"/>
          <w:szCs w:val="24"/>
        </w:rPr>
        <w:t xml:space="preserve">Three scenarios capture the range of plausible approaches. They differ primarily in timing rather than in feasibility — the platform's mathematics support all three, with different implications for current students and current borrowers.</w:t>
      </w:r>
    </w:p>
    <w:p>
      <w:pPr>
        <w:pStyle w:val="Heading2"/>
        <w:spacing w:after="160" w:before="360"/>
      </w:pPr>
      <w:r>
        <w:rPr>
          <w:rFonts w:ascii="Arial" w:cs="Arial" w:eastAsia="Arial" w:hAnsi="Arial"/>
          <w:b/>
          <w:bCs/>
          <w:color w:val="1F4E78"/>
          <w:sz w:val="28"/>
          <w:szCs w:val="28"/>
        </w:rPr>
        <w:t xml:space="preserve">Scenario A: Aggressive Retirement (Years 5-15)</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How it works</w:t>
            </w:r>
          </w:p>
          <w:p>
            <w:pPr>
              <w:spacing w:after="100" w:line="280"/>
            </w:pPr>
            <w:r>
              <w:rPr>
                <w:rFonts w:ascii="Georgia" w:cs="Georgia" w:eastAsia="Georgia" w:hAnsi="Georgia"/>
                <w:color w:val="1A1A1A"/>
                <w:sz w:val="21"/>
                <w:szCs w:val="21"/>
              </w:rPr>
              <w:t xml:space="preserve">•  Begin retiring federal student loans in Year 5, completing by Year 15</w:t>
            </w:r>
          </w:p>
          <w:p>
            <w:pPr>
              <w:spacing w:after="100" w:line="280"/>
            </w:pPr>
            <w:r>
              <w:rPr>
                <w:rFonts w:ascii="Georgia" w:cs="Georgia" w:eastAsia="Georgia" w:hAnsi="Georgia"/>
                <w:color w:val="1A1A1A"/>
                <w:sz w:val="21"/>
                <w:szCs w:val="21"/>
              </w:rPr>
              <w:t xml:space="preserve">•  $1.65 trillion across 10 years equals approximately $165 billion/year average</w:t>
            </w:r>
          </w:p>
          <w:p>
            <w:pPr>
              <w:spacing w:after="100" w:line="280"/>
            </w:pPr>
            <w:r>
              <w:rPr>
                <w:rFonts w:ascii="Georgia" w:cs="Georgia" w:eastAsia="Georgia" w:hAnsi="Georgia"/>
                <w:color w:val="1A1A1A"/>
                <w:sz w:val="21"/>
                <w:szCs w:val="21"/>
              </w:rPr>
              <w:t xml:space="preserve">•  Year 10 disbursement at 1.2% produces $66 billion — insufficient for $165B requirement</w:t>
            </w:r>
          </w:p>
          <w:p>
            <w:pPr>
              <w:spacing w:after="100" w:line="280"/>
            </w:pPr>
            <w:r>
              <w:rPr>
                <w:rFonts w:ascii="Georgia" w:cs="Georgia" w:eastAsia="Georgia" w:hAnsi="Georgia"/>
                <w:color w:val="1A1A1A"/>
                <w:sz w:val="21"/>
                <w:szCs w:val="21"/>
              </w:rPr>
              <w:t xml:space="preserve">•  Year 15 disbursement at 1.2% produces $132 billion — still insufficient</w:t>
            </w:r>
          </w:p>
          <w:p>
            <w:pPr>
              <w:spacing w:after="100" w:line="280"/>
            </w:pPr>
            <w:r>
              <w:rPr>
                <w:rFonts w:ascii="Georgia" w:cs="Georgia" w:eastAsia="Georgia" w:hAnsi="Georgia"/>
                <w:color w:val="1A1A1A"/>
                <w:sz w:val="21"/>
                <w:szCs w:val="21"/>
              </w:rPr>
              <w:t xml:space="preserve">•  Would require Sovereign Fund disbursement at approximately 1.5% or supplemental funding from the healthcare pillar's surplus</w:t>
            </w:r>
          </w:p>
          <w:p>
            <w:pPr>
              <w:spacing w:after="100" w:line="280"/>
            </w:pPr>
            <w:r>
              <w:rPr>
                <w:rFonts w:ascii="Georgia" w:cs="Georgia" w:eastAsia="Georgia" w:hAnsi="Georgia"/>
                <w:color w:val="1A1A1A"/>
                <w:sz w:val="21"/>
                <w:szCs w:val="21"/>
              </w:rPr>
              <w:t xml:space="preserve">•  Trade-off: faster relief for current borrowers, but higher disbursement rate during a period when the fund is still maturing</w:t>
            </w:r>
          </w:p>
        </w:tc>
      </w:tr>
    </w:tbl>
    <w:p>
      <w:pPr>
        <w:spacing w:after="200" w:line="320"/>
        <w:jc w:val="both"/>
      </w:pPr>
      <w:r>
        <w:rPr>
          <w:rFonts w:ascii="Georgia" w:cs="Georgia" w:eastAsia="Georgia" w:hAnsi="Georgia"/>
          <w:color w:val="1A1A1A"/>
          <w:sz w:val="22"/>
          <w:szCs w:val="22"/>
        </w:rPr>
        <w:t xml:space="preserve">This scenario produces faster relief but creates the most fiscal stress on the platform's other commitments. The Year 10 disbursement of $66 billion at 1.2% is genuinely insufficient — covering even half the average annual obligation requires either a higher disbursement rate or supplemental funding. The political appeal is immediacy: tens of millions of Americans see their loans disappear within a decade of platform enactment. The fiscal cost is the strain on the fund during its maturation.</w:t>
      </w:r>
    </w:p>
    <w:p>
      <w:pPr>
        <w:pStyle w:val="Heading2"/>
        <w:spacing w:after="160" w:before="360"/>
      </w:pPr>
      <w:r>
        <w:rPr>
          <w:rFonts w:ascii="Arial" w:cs="Arial" w:eastAsia="Arial" w:hAnsi="Arial"/>
          <w:b/>
          <w:bCs/>
          <w:color w:val="1F4E78"/>
          <w:sz w:val="28"/>
          <w:szCs w:val="28"/>
        </w:rPr>
        <w:t xml:space="preserve">Scenario B: Moderate Retirement (Years 5-25)</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How it works</w:t>
            </w:r>
          </w:p>
          <w:p>
            <w:pPr>
              <w:spacing w:after="100" w:line="280"/>
            </w:pPr>
            <w:r>
              <w:rPr>
                <w:rFonts w:ascii="Georgia" w:cs="Georgia" w:eastAsia="Georgia" w:hAnsi="Georgia"/>
                <w:color w:val="1A1A1A"/>
                <w:sz w:val="21"/>
                <w:szCs w:val="21"/>
              </w:rPr>
              <w:t xml:space="preserve">•  Begin retiring federal student loans in Year 5, completing by Year 25</w:t>
            </w:r>
          </w:p>
          <w:p>
            <w:pPr>
              <w:spacing w:after="100" w:line="280"/>
            </w:pPr>
            <w:r>
              <w:rPr>
                <w:rFonts w:ascii="Georgia" w:cs="Georgia" w:eastAsia="Georgia" w:hAnsi="Georgia"/>
                <w:color w:val="1A1A1A"/>
                <w:sz w:val="21"/>
                <w:szCs w:val="21"/>
              </w:rPr>
              <w:t xml:space="preserve">•  $1.65 trillion across 20 years equals approximately $82.5 billion/year average</w:t>
            </w:r>
          </w:p>
          <w:p>
            <w:pPr>
              <w:spacing w:after="100" w:line="280"/>
            </w:pPr>
            <w:r>
              <w:rPr>
                <w:rFonts w:ascii="Georgia" w:cs="Georgia" w:eastAsia="Georgia" w:hAnsi="Georgia"/>
                <w:color w:val="1A1A1A"/>
                <w:sz w:val="21"/>
                <w:szCs w:val="21"/>
              </w:rPr>
              <w:t xml:space="preserve">•  Year 10 disbursement at 1.2% produces $66 billion — close to sufficient</w:t>
            </w:r>
          </w:p>
          <w:p>
            <w:pPr>
              <w:spacing w:after="100" w:line="280"/>
            </w:pPr>
            <w:r>
              <w:rPr>
                <w:rFonts w:ascii="Georgia" w:cs="Georgia" w:eastAsia="Georgia" w:hAnsi="Georgia"/>
                <w:color w:val="1A1A1A"/>
                <w:sz w:val="21"/>
                <w:szCs w:val="21"/>
              </w:rPr>
              <w:t xml:space="preserve">•  Year 15 disbursement at 1.2% produces $132 billion — substantially more than needed</w:t>
            </w:r>
          </w:p>
          <w:p>
            <w:pPr>
              <w:spacing w:after="100" w:line="280"/>
            </w:pPr>
            <w:r>
              <w:rPr>
                <w:rFonts w:ascii="Georgia" w:cs="Georgia" w:eastAsia="Georgia" w:hAnsi="Georgia"/>
                <w:color w:val="1A1A1A"/>
                <w:sz w:val="21"/>
                <w:szCs w:val="21"/>
              </w:rPr>
              <w:t xml:space="preserve">•  Year 20+ disbursement produces substantial surplus capacity beyond loan retirement</w:t>
            </w:r>
          </w:p>
          <w:p>
            <w:pPr>
              <w:spacing w:after="100" w:line="280"/>
            </w:pPr>
            <w:r>
              <w:rPr>
                <w:rFonts w:ascii="Georgia" w:cs="Georgia" w:eastAsia="Georgia" w:hAnsi="Georgia"/>
                <w:color w:val="1A1A1A"/>
                <w:sz w:val="21"/>
                <w:szCs w:val="21"/>
              </w:rPr>
              <w:t xml:space="preserve">•  Likely needs only 0.6–1.0% disbursement rate dedicated to retirement, leaving room for current education funding</w:t>
            </w:r>
          </w:p>
        </w:tc>
      </w:tr>
    </w:tbl>
    <w:p>
      <w:pPr>
        <w:spacing w:after="200" w:line="320"/>
        <w:jc w:val="both"/>
      </w:pPr>
      <w:r>
        <w:rPr>
          <w:rFonts w:ascii="Georgia" w:cs="Georgia" w:eastAsia="Georgia" w:hAnsi="Georgia"/>
          <w:color w:val="1A1A1A"/>
          <w:sz w:val="22"/>
          <w:szCs w:val="22"/>
        </w:rPr>
        <w:t xml:space="preserve">This scenario provides relief on a meaningful timeline without straining the fund's other commitments. By Year 15 the fund's annual disbursement comfortably exceeds the average annual retirement requirement. The earlier years of the program (5-10) require more careful management because disbursement capacity is still building, but the average load across the program's life is well within the fund's capacity. Most current borrowers see their loans disappear within their working lifetimes — a meaningful but not immediate benefit.</w:t>
      </w:r>
    </w:p>
    <w:p>
      <w:pPr>
        <w:pStyle w:val="Heading2"/>
        <w:spacing w:after="160" w:before="360"/>
      </w:pPr>
      <w:r>
        <w:rPr>
          <w:rFonts w:ascii="Arial" w:cs="Arial" w:eastAsia="Arial" w:hAnsi="Arial"/>
          <w:b/>
          <w:bCs/>
          <w:color w:val="1F4E78"/>
          <w:sz w:val="28"/>
          <w:szCs w:val="28"/>
        </w:rPr>
        <w:t xml:space="preserve">Scenario C: Conservative Retirement (Years 10-40)</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How it works</w:t>
            </w:r>
          </w:p>
          <w:p>
            <w:pPr>
              <w:spacing w:after="100" w:line="280"/>
            </w:pPr>
            <w:r>
              <w:rPr>
                <w:rFonts w:ascii="Georgia" w:cs="Georgia" w:eastAsia="Georgia" w:hAnsi="Georgia"/>
                <w:color w:val="1A1A1A"/>
                <w:sz w:val="21"/>
                <w:szCs w:val="21"/>
              </w:rPr>
              <w:t xml:space="preserve">•  Begin retiring federal student loans in Year 10 after the fund is established</w:t>
            </w:r>
          </w:p>
          <w:p>
            <w:pPr>
              <w:spacing w:after="100" w:line="280"/>
            </w:pPr>
            <w:r>
              <w:rPr>
                <w:rFonts w:ascii="Georgia" w:cs="Georgia" w:eastAsia="Georgia" w:hAnsi="Georgia"/>
                <w:color w:val="1A1A1A"/>
                <w:sz w:val="21"/>
                <w:szCs w:val="21"/>
              </w:rPr>
              <w:t xml:space="preserve">•  $1.65 trillion across 30 years equals approximately $55 billion/year average</w:t>
            </w:r>
          </w:p>
          <w:p>
            <w:pPr>
              <w:spacing w:after="100" w:line="280"/>
            </w:pPr>
            <w:r>
              <w:rPr>
                <w:rFonts w:ascii="Georgia" w:cs="Georgia" w:eastAsia="Georgia" w:hAnsi="Georgia"/>
                <w:color w:val="1A1A1A"/>
                <w:sz w:val="21"/>
                <w:szCs w:val="21"/>
              </w:rPr>
              <w:t xml:space="preserve">•  Year 15 disbursement of $132 billion easily covers retirement plus other needs</w:t>
            </w:r>
          </w:p>
          <w:p>
            <w:pPr>
              <w:spacing w:after="100" w:line="280"/>
            </w:pPr>
            <w:r>
              <w:rPr>
                <w:rFonts w:ascii="Georgia" w:cs="Georgia" w:eastAsia="Georgia" w:hAnsi="Georgia"/>
                <w:color w:val="1A1A1A"/>
                <w:sz w:val="21"/>
                <w:szCs w:val="21"/>
              </w:rPr>
              <w:t xml:space="preserve">•  Year 25+ disbursement of $456 billion produces enormous surplus beyond all platform commitments</w:t>
            </w:r>
          </w:p>
          <w:p>
            <w:pPr>
              <w:spacing w:after="100" w:line="280"/>
            </w:pPr>
            <w:r>
              <w:rPr>
                <w:rFonts w:ascii="Georgia" w:cs="Georgia" w:eastAsia="Georgia" w:hAnsi="Georgia"/>
                <w:color w:val="1A1A1A"/>
                <w:sz w:val="21"/>
                <w:szCs w:val="21"/>
              </w:rPr>
              <w:t xml:space="preserve">•  Effectively absorbed by the fund's natural growth without straining any current commitment</w:t>
            </w:r>
          </w:p>
          <w:p>
            <w:pPr>
              <w:spacing w:after="100" w:line="280"/>
            </w:pPr>
            <w:r>
              <w:rPr>
                <w:rFonts w:ascii="Georgia" w:cs="Georgia" w:eastAsia="Georgia" w:hAnsi="Georgia"/>
                <w:color w:val="1A1A1A"/>
                <w:sz w:val="21"/>
                <w:szCs w:val="21"/>
              </w:rPr>
              <w:t xml:space="preserve">•  Trade-off: many current borrowers reach retirement age before their loans are retired</w:t>
            </w:r>
          </w:p>
        </w:tc>
      </w:tr>
    </w:tbl>
    <w:p>
      <w:pPr>
        <w:spacing w:after="200" w:line="320"/>
        <w:jc w:val="both"/>
      </w:pPr>
      <w:r>
        <w:rPr>
          <w:rFonts w:ascii="Georgia" w:cs="Georgia" w:eastAsia="Georgia" w:hAnsi="Georgia"/>
          <w:color w:val="1A1A1A"/>
          <w:sz w:val="22"/>
          <w:szCs w:val="22"/>
        </w:rPr>
        <w:t xml:space="preserve">This scenario is the most fiscally conservative but provides the least immediate human benefit. Current borrowers in their 40s and 50s would see relief, but the slowest pace means many borrowers retire still carrying debt. The advantage is that the platform's other commitments are never strained — retirement is a residual function of the fund's growth rather than a primary priority. This scenario is probably too slow for political viability but represents the floor of what the math supports.</w:t>
      </w:r>
    </w:p>
    <w:p>
      <w:pPr>
        <w:pStyle w:val="Heading3"/>
        <w:spacing w:after="120" w:before="240"/>
      </w:pPr>
      <w:r>
        <w:rPr>
          <w:rFonts w:ascii="Arial" w:cs="Arial" w:eastAsia="Arial" w:hAnsi="Arial"/>
          <w:b/>
          <w:bCs/>
          <w:color w:val="C00000"/>
          <w:sz w:val="22"/>
          <w:szCs w:val="22"/>
        </w:rPr>
        <w:t xml:space="preserve">Author's Recommendation</w:t>
      </w:r>
    </w:p>
    <w:p>
      <w:pPr>
        <w:spacing w:after="200" w:line="320"/>
        <w:jc w:val="both"/>
      </w:pPr>
      <w:r>
        <w:rPr>
          <w:rFonts w:ascii="Georgia" w:cs="Georgia" w:eastAsia="Georgia" w:hAnsi="Georgia"/>
          <w:color w:val="1A1A1A"/>
          <w:sz w:val="22"/>
          <w:szCs w:val="22"/>
        </w:rPr>
        <w:t xml:space="preserve">Scenario B is probably the right choice. It provides meaningful relief within most current borrowers' working lifetimes, doesn't strain the fund during its maturation, and leaves substantial surplus capacity for the platform's forward-looking education commitments. The aggressive timeline of Scenario A is politically attractive but fiscally risky during the fund's first decade. The conservative timeline of Scenario C is fiscally safe but provides too little human benefit too late.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“Scenario B retires the federal student loan portfolio across two decades, using approximately 0.6–1.0% disbursement rates that leave room for the platform's primary education funding commitments. The mathematics work without straining any other pillar.”</w:t>
            </w:r>
          </w:p>
        </w:tc>
      </w:tr>
    </w:tbl>
    <w:p>
      <w:r>
        <w:br w:type="page"/>
      </w:r>
    </w:p>
    <w:p>
      <w:pPr>
        <w:pStyle w:val="Heading1"/>
        <w:spacing w:after="240" w:before="480"/>
      </w:pPr>
      <w:r>
        <w:rPr>
          <w:rFonts w:ascii="Arial" w:cs="Arial" w:eastAsia="Arial" w:hAnsi="Arial"/>
          <w:b/>
          <w:bCs/>
          <w:color w:val="1F4E78"/>
          <w:sz w:val="36"/>
          <w:szCs w:val="36"/>
        </w:rPr>
        <w:t xml:space="preserve">Medical Debt Retirement</w:t>
      </w:r>
    </w:p>
    <w:p>
      <w:pPr>
        <w:spacing w:after="240" w:line="340"/>
        <w:jc w:val="both"/>
      </w:pPr>
      <w:r>
        <w:rPr>
          <w:rFonts w:ascii="Georgia" w:cs="Georgia" w:eastAsia="Georgia" w:hAnsi="Georgia"/>
          <w:color w:val="1A1A1A"/>
          <w:sz w:val="24"/>
          <w:szCs w:val="24"/>
        </w:rPr>
        <w:t xml:space="preserve">Medical debt is a fundamentally different problem from student loan debt and admits of much faster retirement. The total magnitude of approximately $220 billion is small relative to the healthcare pillar's projected surplus, and the distributed nature of the debt across roughly 100 million Americans means retroactive retirement produces immediate relief at small per-recipient cost.</w:t>
      </w:r>
    </w:p>
    <w:p>
      <w:pPr>
        <w:pStyle w:val="Heading2"/>
        <w:spacing w:after="160" w:before="360"/>
      </w:pPr>
      <w:r>
        <w:rPr>
          <w:rFonts w:ascii="Arial" w:cs="Arial" w:eastAsia="Arial" w:hAnsi="Arial"/>
          <w:b/>
          <w:bCs/>
          <w:color w:val="1F4E78"/>
          <w:sz w:val="28"/>
          <w:szCs w:val="28"/>
        </w:rPr>
        <w:t xml:space="preserve">Capacity Analysis</w:t>
      </w:r>
    </w:p>
    <w:p>
      <w:pPr>
        <w:spacing w:after="200" w:line="320"/>
        <w:jc w:val="both"/>
      </w:pPr>
      <w:r>
        <w:rPr>
          <w:rFonts w:ascii="Georgia" w:cs="Georgia" w:eastAsia="Georgia" w:hAnsi="Georgia"/>
          <w:color w:val="1A1A1A"/>
          <w:sz w:val="22"/>
          <w:szCs w:val="22"/>
        </w:rPr>
        <w:t>The universal healthcare Model documents the healthcare pillar's projected fiscal trajectory. The pillar runs an annual surplus during its mature operation, with cumulative surplus reaching approximately $2.6 trillion by Year 10 of platform operation. This surplus emerges from administrative simplification, pharmaceutical pricing reform, provider price negotiation, and the elimination of the redundant administrative apparatus the current multi-payer private system requires.</w:t>
      </w:r>
    </w:p>
    <w:p>
      <w:pPr>
        <w:spacing w:after="200" w:line="320"/>
        <w:jc w:val="both"/>
      </w:pPr>
      <w:r>
        <w:rPr>
          <w:rFonts w:ascii="Georgia" w:cs="Georgia" w:eastAsia="Georgia" w:hAnsi="Georgia"/>
          <w:color w:val="1A1A1A"/>
          <w:sz w:val="22"/>
          <w:szCs w:val="22"/>
        </w:rPr>
        <w:t xml:space="preserve">Against this surplus, the $220 billion in total medical debt is essentially rounding error. The healthcare pillar's annual surplus alone, once mature, is more than sufficient to retire all medical debt in any year the policy chose to do so. The constraint is not capacity. It is policy choice and operational logistics.</w:t>
      </w:r>
    </w:p>
    <w:p>
      <w:pPr>
        <w:pStyle w:val="Heading2"/>
        <w:spacing w:after="160" w:before="360"/>
      </w:pPr>
      <w:r>
        <w:rPr>
          <w:rFonts w:ascii="Arial" w:cs="Arial" w:eastAsia="Arial" w:hAnsi="Arial"/>
          <w:b/>
          <w:bCs/>
          <w:color w:val="1F4E78"/>
          <w:sz w:val="28"/>
          <w:szCs w:val="28"/>
        </w:rPr>
        <w:t xml:space="preserve">Retirement Scenarios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Scenario A — Rapid Retirement (Years 5-7)</w:t>
            </w:r>
          </w:p>
          <w:p>
            <w:pPr>
              <w:spacing w:after="100" w:line="280"/>
            </w:pPr>
            <w:r>
              <w:rPr>
                <w:rFonts w:ascii="Georgia" w:cs="Georgia" w:eastAsia="Georgia" w:hAnsi="Georgia"/>
                <w:color w:val="1A1A1A"/>
                <w:sz w:val="21"/>
                <w:szCs w:val="21"/>
              </w:rPr>
              <w:t xml:space="preserve">•  Begin retiring medical debt in Year 5 of platform operation</w:t>
            </w:r>
          </w:p>
          <w:p>
            <w:pPr>
              <w:spacing w:after="100" w:line="280"/>
            </w:pPr>
            <w:r>
              <w:rPr>
                <w:rFonts w:ascii="Georgia" w:cs="Georgia" w:eastAsia="Georgia" w:hAnsi="Georgia"/>
                <w:color w:val="1A1A1A"/>
                <w:sz w:val="21"/>
                <w:szCs w:val="21"/>
              </w:rPr>
              <w:t xml:space="preserve">•  Complete retirement of all $220B in medical debt within 2-3 years</w:t>
            </w:r>
          </w:p>
          <w:p>
            <w:pPr>
              <w:spacing w:after="100" w:line="280"/>
            </w:pPr>
            <w:r>
              <w:rPr>
                <w:rFonts w:ascii="Georgia" w:cs="Georgia" w:eastAsia="Georgia" w:hAnsi="Georgia"/>
                <w:color w:val="1A1A1A"/>
                <w:sz w:val="21"/>
                <w:szCs w:val="21"/>
              </w:rPr>
              <w:t xml:space="preserve">•  Required: approximately $75-110 billion per year</w:t>
            </w:r>
          </w:p>
          <w:p>
            <w:pPr>
              <w:spacing w:after="100" w:line="280"/>
            </w:pPr>
            <w:r>
              <w:rPr>
                <w:rFonts w:ascii="Georgia" w:cs="Georgia" w:eastAsia="Georgia" w:hAnsi="Georgia"/>
                <w:color w:val="1A1A1A"/>
                <w:sz w:val="21"/>
                <w:szCs w:val="21"/>
              </w:rPr>
              <w:t xml:space="preserve">•  Healthcare pillar surplus by Year 5: approximately $200B+ annually</w:t>
            </w:r>
          </w:p>
          <w:p>
            <w:pPr>
              <w:spacing w:after="100" w:line="280"/>
            </w:pPr>
            <w:r>
              <w:rPr>
                <w:rFonts w:ascii="Georgia" w:cs="Georgia" w:eastAsia="Georgia" w:hAnsi="Georgia"/>
                <w:color w:val="1A1A1A"/>
                <w:sz w:val="21"/>
                <w:szCs w:val="21"/>
              </w:rPr>
              <w:t xml:space="preserve">•  Achievable from healthcare pillar surplus alone, no Sovereign Fund involvement</w:t>
            </w:r>
          </w:p>
          <w:p>
            <w:pPr>
              <w:spacing w:after="100" w:line="280"/>
            </w:pPr>
            <w:r>
              <w:rPr>
                <w:rFonts w:ascii="Georgia" w:cs="Georgia" w:eastAsia="Georgia" w:hAnsi="Georgia"/>
                <w:color w:val="1A1A1A"/>
                <w:sz w:val="21"/>
                <w:szCs w:val="21"/>
              </w:rPr>
              <w:t xml:space="preserve">•  Roughly 100 million Americans see their medical debt disappear within the first decade</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Scenario B — Immediate Retirement (Year 5)</w:t>
            </w:r>
          </w:p>
          <w:p>
            <w:pPr>
              <w:spacing w:after="100" w:line="280"/>
            </w:pPr>
            <w:r>
              <w:rPr>
                <w:rFonts w:ascii="Georgia" w:cs="Georgia" w:eastAsia="Georgia" w:hAnsi="Georgia"/>
                <w:color w:val="1A1A1A"/>
                <w:sz w:val="21"/>
                <w:szCs w:val="21"/>
              </w:rPr>
              <w:t xml:space="preserve">•  Retire all $220B in medical debt in a single year, immediately upon healthcare pillar maturity</w:t>
            </w:r>
          </w:p>
          <w:p>
            <w:pPr>
              <w:spacing w:after="100" w:line="280"/>
            </w:pPr>
            <w:r>
              <w:rPr>
                <w:rFonts w:ascii="Georgia" w:cs="Georgia" w:eastAsia="Georgia" w:hAnsi="Georgia"/>
                <w:color w:val="1A1A1A"/>
                <w:sz w:val="21"/>
                <w:szCs w:val="21"/>
              </w:rPr>
              <w:t xml:space="preserve">•  Healthcare pillar surplus by Year 5: approximately $200B annually</w:t>
            </w:r>
          </w:p>
          <w:p>
            <w:pPr>
              <w:spacing w:after="100" w:line="280"/>
            </w:pPr>
            <w:r>
              <w:rPr>
                <w:rFonts w:ascii="Georgia" w:cs="Georgia" w:eastAsia="Georgia" w:hAnsi="Georgia"/>
                <w:color w:val="1A1A1A"/>
                <w:sz w:val="21"/>
                <w:szCs w:val="21"/>
              </w:rPr>
              <w:t xml:space="preserve">•  Sovereign Fund supplemental disbursement: approximately $22B in Year 5</w:t>
            </w:r>
          </w:p>
          <w:p>
            <w:pPr>
              <w:spacing w:after="100" w:line="280"/>
            </w:pPr>
            <w:r>
              <w:rPr>
                <w:rFonts w:ascii="Georgia" w:cs="Georgia" w:eastAsia="Georgia" w:hAnsi="Georgia"/>
                <w:color w:val="1A1A1A"/>
                <w:sz w:val="21"/>
                <w:szCs w:val="21"/>
              </w:rPr>
              <w:t xml:space="preserve">•  Combined capacity: sufficient to handle the obligation in a single year</w:t>
            </w:r>
          </w:p>
          <w:p>
            <w:pPr>
              <w:spacing w:after="100" w:line="280"/>
            </w:pPr>
            <w:r>
              <w:rPr>
                <w:rFonts w:ascii="Georgia" w:cs="Georgia" w:eastAsia="Georgia" w:hAnsi="Georgia"/>
                <w:color w:val="1A1A1A"/>
                <w:sz w:val="21"/>
                <w:szCs w:val="21"/>
              </w:rPr>
              <w:t xml:space="preserve">•  Politically powerful: every American with medical debt sees it eliminated at once</w:t>
            </w:r>
          </w:p>
          <w:p>
            <w:pPr>
              <w:spacing w:after="100" w:line="280"/>
            </w:pPr>
            <w:r>
              <w:rPr>
                <w:rFonts w:ascii="Georgia" w:cs="Georgia" w:eastAsia="Georgia" w:hAnsi="Georgia"/>
                <w:color w:val="1A1A1A"/>
                <w:sz w:val="21"/>
                <w:szCs w:val="21"/>
              </w:rPr>
              <w:t xml:space="preserve">•  Logistically demanding: requires rapid administrative capacity to identify and retire all qualifying debt</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Scenario C — Steady-State Retirement (Years 5-10)</w:t>
            </w:r>
          </w:p>
          <w:p>
            <w:pPr>
              <w:spacing w:after="100" w:line="280"/>
            </w:pPr>
            <w:r>
              <w:rPr>
                <w:rFonts w:ascii="Georgia" w:cs="Georgia" w:eastAsia="Georgia" w:hAnsi="Georgia"/>
                <w:color w:val="1A1A1A"/>
                <w:sz w:val="21"/>
                <w:szCs w:val="21"/>
              </w:rPr>
              <w:t xml:space="preserve">•  Retire medical debt across the platform's first half-decade of operation</w:t>
            </w:r>
          </w:p>
          <w:p>
            <w:pPr>
              <w:spacing w:after="100" w:line="280"/>
            </w:pPr>
            <w:r>
              <w:rPr>
                <w:rFonts w:ascii="Georgia" w:cs="Georgia" w:eastAsia="Georgia" w:hAnsi="Georgia"/>
                <w:color w:val="1A1A1A"/>
                <w:sz w:val="21"/>
                <w:szCs w:val="21"/>
              </w:rPr>
              <w:t xml:space="preserve">•  $220B over 5 years equals $44 billion per year</w:t>
            </w:r>
          </w:p>
          <w:p>
            <w:pPr>
              <w:spacing w:after="100" w:line="280"/>
            </w:pPr>
            <w:r>
              <w:rPr>
                <w:rFonts w:ascii="Georgia" w:cs="Georgia" w:eastAsia="Georgia" w:hAnsi="Georgia"/>
                <w:color w:val="1A1A1A"/>
                <w:sz w:val="21"/>
                <w:szCs w:val="21"/>
              </w:rPr>
              <w:t xml:space="preserve">•  Easily within healthcare pillar surplus capacity at any year</w:t>
            </w:r>
          </w:p>
          <w:p>
            <w:pPr>
              <w:spacing w:after="100" w:line="280"/>
            </w:pPr>
            <w:r>
              <w:rPr>
                <w:rFonts w:ascii="Georgia" w:cs="Georgia" w:eastAsia="Georgia" w:hAnsi="Georgia"/>
                <w:color w:val="1A1A1A"/>
                <w:sz w:val="21"/>
                <w:szCs w:val="21"/>
              </w:rPr>
              <w:t xml:space="preserve">•  Allows orderly administrative implementation</w:t>
            </w:r>
          </w:p>
          <w:p>
            <w:pPr>
              <w:spacing w:after="100" w:line="280"/>
            </w:pPr>
            <w:r>
              <w:rPr>
                <w:rFonts w:ascii="Georgia" w:cs="Georgia" w:eastAsia="Georgia" w:hAnsi="Georgia"/>
                <w:color w:val="1A1A1A"/>
                <w:sz w:val="21"/>
                <w:szCs w:val="21"/>
              </w:rPr>
              <w:t xml:space="preserve">•  Balances immediate human benefit with operational realism</w:t>
            </w:r>
          </w:p>
        </w:tc>
      </w:tr>
    </w:tbl>
    <w:p>
      <w:pPr>
        <w:spacing w:after="200" w:line="320"/>
        <w:jc w:val="both"/>
      </w:pPr>
      <w:r>
        <w:rPr>
          <w:rFonts w:ascii="Georgia" w:cs="Georgia" w:eastAsia="Georgia" w:hAnsi="Georgia"/>
          <w:color w:val="1A1A1A"/>
          <w:sz w:val="22"/>
          <w:szCs w:val="22"/>
        </w:rPr>
        <w:t xml:space="preserve">All three scenarios are mathematically achievable. The choice depends primarily on operational capacity to implement at the required pace and on political judgment about how visible immediate relief should be. Scenario B (single-year retirement) is the politically powerful choice. Scenario C (steady-state retirement) is the administratively reasonable choice. The author leans toward Scenario C: steady, transparent, achievable, with universal results within the platform's first decade.</w:t>
      </w:r>
    </w:p>
    <w:p>
      <w:pPr>
        <w:pStyle w:val="Heading3"/>
        <w:spacing w:after="120" w:before="240"/>
      </w:pPr>
      <w:r>
        <w:rPr>
          <w:rFonts w:ascii="Arial" w:cs="Arial" w:eastAsia="Arial" w:hAnsi="Arial"/>
          <w:b/>
          <w:bCs/>
          <w:color w:val="C00000"/>
          <w:sz w:val="22"/>
          <w:szCs w:val="22"/>
        </w:rPr>
        <w:t xml:space="preserve">Why Medical Debt Retirement Matters</w:t>
      </w:r>
    </w:p>
    <w:p>
      <w:pPr>
        <w:spacing w:after="200" w:line="320"/>
        <w:jc w:val="both"/>
      </w:pPr>
      <w:r>
        <w:rPr>
          <w:rFonts w:ascii="Georgia" w:cs="Georgia" w:eastAsia="Georgia" w:hAnsi="Georgia"/>
          <w:color w:val="1A1A1A"/>
          <w:sz w:val="22"/>
          <w:szCs w:val="22"/>
        </w:rPr>
        <w:t xml:space="preserve">Medical debt has effects on American life that extend well beyond the dollar amounts. It depresses credit scores for tens of millions of Americans, affecting their ability to rent housing, get jobs requiring credit checks, or take out loans for legitimate purposes. It produces measurable mental health effects — stress, anxiety, hopelessness — with their own downstream costs. It distorts medical decision-making, with many Americans avoiding necessary care to prevent additional debt accumulation. Retiring medical debt produces benefits that compound across all these dimensions, not just the direct fiscal benefit.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“Medical debt is small enough that the platform can retire it entirely within five years of pillar maturity, funded from healthcare pillar surplus alone. Approximately 100 million Americans see their medical debt eliminated. The dollar magnitude is modest. The human benefit is substantial.”</w:t>
            </w:r>
          </w:p>
        </w:tc>
      </w:tr>
    </w:tbl>
    <w:p>
      <w:r>
        <w:br w:type="page"/>
      </w:r>
    </w:p>
    <w:p>
      <w:pPr>
        <w:pStyle w:val="Heading1"/>
        <w:spacing w:after="240" w:before="480"/>
      </w:pPr>
      <w:r>
        <w:rPr>
          <w:rFonts w:ascii="Arial" w:cs="Arial" w:eastAsia="Arial" w:hAnsi="Arial"/>
          <w:b/>
          <w:bCs/>
          <w:color w:val="1F4E78"/>
          <w:sz w:val="36"/>
          <w:szCs w:val="36"/>
        </w:rPr>
        <w:t xml:space="preserve">Aligning the Two Debts in a Single Phasing Strategy</w:t>
      </w:r>
    </w:p>
    <w:p>
      <w:pPr>
        <w:spacing w:after="240" w:line="340"/>
        <w:jc w:val="both"/>
      </w:pPr>
      <w:r>
        <w:rPr>
          <w:rFonts w:ascii="Georgia" w:cs="Georgia" w:eastAsia="Georgia" w:hAnsi="Georgia"/>
          <w:color w:val="1A1A1A"/>
          <w:sz w:val="24"/>
          <w:szCs w:val="24"/>
        </w:rPr>
        <w:t xml:space="preserve">The platform can address both debts through coordinated phasing that uses different surplus sources for each. The two retirements complement each other rather than competing for resources, because they draw on fundamentally different capacity pools.</w:t>
      </w:r>
    </w:p>
    <w:p>
      <w:pPr>
        <w:pStyle w:val="Heading2"/>
        <w:spacing w:after="160" w:before="360"/>
      </w:pPr>
      <w:r>
        <w:rPr>
          <w:rFonts w:ascii="Arial" w:cs="Arial" w:eastAsia="Arial" w:hAnsi="Arial"/>
          <w:b/>
          <w:bCs/>
          <w:color w:val="1F4E78"/>
          <w:sz w:val="28"/>
          <w:szCs w:val="28"/>
        </w:rPr>
        <w:t xml:space="preserve">Year-by-Year Coordinated Plan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300"/>
        <w:gridCol w:w="3850"/>
        <w:gridCol w:w="3850"/>
      </w:tblGrid>
      <w:tr>
        <w:tc>
          <w:tcPr>
            <w:tcW w:type="dxa" w:w="13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19"/>
                <w:szCs w:val="19"/>
              </w:rPr>
              <w:t xml:space="preserve">Year</w:t>
            </w:r>
          </w:p>
        </w:tc>
        <w:tc>
          <w:tcPr>
            <w:tcW w:type="dxa" w:w="38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Medical Debt Action</w:t>
            </w:r>
          </w:p>
        </w:tc>
        <w:tc>
          <w:tcPr>
            <w:tcW w:type="dxa" w:w="38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Student Loan Action</w:t>
            </w:r>
          </w:p>
        </w:tc>
      </w:tr>
      <w:tr>
        <w:tc>
          <w:tcPr>
            <w:tcW w:type="dxa" w:w="13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Year 1-4</w:t>
            </w:r>
          </w:p>
        </w:tc>
        <w:tc>
          <w:tcPr>
            <w:tcW w:type="dxa" w:w="38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Healthcare pillar building</w:t>
            </w:r>
          </w:p>
        </w:tc>
        <w:tc>
          <w:tcPr>
            <w:tcW w:type="dxa" w:w="38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Sovereign Fund building</w:t>
            </w:r>
          </w:p>
        </w:tc>
      </w:tr>
      <w:tr>
        <w:tc>
          <w:tcPr>
            <w:tcW w:type="dxa" w:w="13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Year 5</w:t>
            </w:r>
          </w:p>
        </w:tc>
        <w:tc>
          <w:tcPr>
            <w:tcW w:type="dxa" w:w="38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Begin retirement ($44B from healthcare)</w:t>
            </w:r>
          </w:p>
        </w:tc>
        <w:tc>
          <w:tcPr>
            <w:tcW w:type="dxa" w:w="38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Begin retirement ($22B from fund)</w:t>
            </w:r>
          </w:p>
        </w:tc>
      </w:tr>
      <w:tr>
        <w:tc>
          <w:tcPr>
            <w:tcW w:type="dxa" w:w="13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Year 6</w:t>
            </w:r>
          </w:p>
        </w:tc>
        <w:tc>
          <w:tcPr>
            <w:tcW w:type="dxa" w:w="38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Continue ($44B)</w:t>
            </w:r>
          </w:p>
        </w:tc>
        <w:tc>
          <w:tcPr>
            <w:tcW w:type="dxa" w:w="38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Continue ($30B — fund growing)</w:t>
            </w:r>
          </w:p>
        </w:tc>
      </w:tr>
      <w:tr>
        <w:tc>
          <w:tcPr>
            <w:tcW w:type="dxa" w:w="13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Year 7</w:t>
            </w:r>
          </w:p>
        </w:tc>
        <w:tc>
          <w:tcPr>
            <w:tcW w:type="dxa" w:w="38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Continue ($44B)</w:t>
            </w:r>
          </w:p>
        </w:tc>
        <w:tc>
          <w:tcPr>
            <w:tcW w:type="dxa" w:w="38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Continue ($45B)</w:t>
            </w:r>
          </w:p>
        </w:tc>
      </w:tr>
      <w:tr>
        <w:tc>
          <w:tcPr>
            <w:tcW w:type="dxa" w:w="13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Year 8</w:t>
            </w:r>
          </w:p>
        </w:tc>
        <w:tc>
          <w:tcPr>
            <w:tcW w:type="dxa" w:w="38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Continue ($44B)</w:t>
            </w:r>
          </w:p>
        </w:tc>
        <w:tc>
          <w:tcPr>
            <w:tcW w:type="dxa" w:w="38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Continue ($55B)</w:t>
            </w:r>
          </w:p>
        </w:tc>
      </w:tr>
      <w:tr>
        <w:tc>
          <w:tcPr>
            <w:tcW w:type="dxa" w:w="13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Year 9</w:t>
            </w:r>
          </w:p>
        </w:tc>
        <w:tc>
          <w:tcPr>
            <w:tcW w:type="dxa" w:w="38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Continue ($44B — final year)</w:t>
            </w:r>
          </w:p>
        </w:tc>
        <w:tc>
          <w:tcPr>
            <w:tcW w:type="dxa" w:w="38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Continue ($60B)</w:t>
            </w:r>
          </w:p>
        </w:tc>
      </w:tr>
      <w:tr>
        <w:tc>
          <w:tcPr>
            <w:tcW w:type="dxa" w:w="13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Year 10</w:t>
            </w:r>
          </w:p>
        </w:tc>
        <w:tc>
          <w:tcPr>
            <w:tcW w:type="dxa" w:w="38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Medical debt retired — $220B done</w:t>
            </w:r>
          </w:p>
        </w:tc>
        <w:tc>
          <w:tcPr>
            <w:tcW w:type="dxa" w:w="38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Continue ($66B)</w:t>
            </w:r>
          </w:p>
        </w:tc>
      </w:tr>
      <w:tr>
        <w:tc>
          <w:tcPr>
            <w:tcW w:type="dxa" w:w="13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Year 15</w:t>
            </w:r>
          </w:p>
        </w:tc>
        <w:tc>
          <w:tcPr>
            <w:tcW w:type="dxa" w:w="38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w:t>
            </w:r>
          </w:p>
        </w:tc>
        <w:tc>
          <w:tcPr>
            <w:tcW w:type="dxa" w:w="38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Continue ($120-130B — well underway)</w:t>
            </w:r>
          </w:p>
        </w:tc>
      </w:tr>
      <w:tr>
        <w:tc>
          <w:tcPr>
            <w:tcW w:type="dxa" w:w="13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Year 20</w:t>
            </w:r>
          </w:p>
        </w:tc>
        <w:tc>
          <w:tcPr>
            <w:tcW w:type="dxa" w:w="38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w:t>
            </w:r>
          </w:p>
        </w:tc>
        <w:tc>
          <w:tcPr>
            <w:tcW w:type="dxa" w:w="38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Continue ($160B — majority retired)</w:t>
            </w:r>
          </w:p>
        </w:tc>
      </w:tr>
      <w:tr>
        <w:tc>
          <w:tcPr>
            <w:tcW w:type="dxa" w:w="13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Year 25</w:t>
            </w:r>
          </w:p>
        </w:tc>
        <w:tc>
          <w:tcPr>
            <w:tcW w:type="dxa" w:w="38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w:t>
            </w:r>
          </w:p>
        </w:tc>
        <w:tc>
          <w:tcPr>
            <w:tcW w:type="dxa" w:w="38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Federal student loans retired — $1.65T done</w:t>
            </w:r>
          </w:p>
        </w:tc>
      </w:tr>
    </w:tbl>
    <w:p>
      <w:pPr>
        <w:spacing w:after="300"/>
      </w:pPr>
      <w:r>
        <w:t xml:space="preserve"/>
      </w:r>
    </w:p>
    <w:p>
      <w:pPr>
        <w:spacing w:after="200" w:line="320"/>
        <w:jc w:val="both"/>
      </w:pPr>
      <w:r>
        <w:rPr>
          <w:rFonts w:ascii="Georgia" w:cs="Georgia" w:eastAsia="Georgia" w:hAnsi="Georgia"/>
          <w:color w:val="1A1A1A"/>
          <w:sz w:val="22"/>
          <w:szCs w:val="22"/>
        </w:rPr>
        <w:t xml:space="preserve">This coordinated plan produces visible results within the platform's first decade. Medical debt is fully retired by Year 10. Federal student loans are largely retired by Year 20. The fiscal capacity for both comes from existing platform mechanisms (healthcare pillar surplus and Sovereign Fund growth) without requiring new contribution rates or new revenue sources. The political appeal is significant: every administration during the platform's first two decades can point to ongoing retroactive relief that's reaching tens of millions of Americans.</w:t>
      </w:r>
    </w:p>
    <w:p>
      <w:pPr>
        <w:pStyle w:val="Heading2"/>
        <w:spacing w:after="160" w:before="360"/>
      </w:pPr>
      <w:r>
        <w:rPr>
          <w:rFonts w:ascii="Arial" w:cs="Arial" w:eastAsia="Arial" w:hAnsi="Arial"/>
          <w:b/>
          <w:bCs/>
          <w:color w:val="1F4E78"/>
          <w:sz w:val="28"/>
          <w:szCs w:val="28"/>
        </w:rPr>
        <w:t xml:space="preserve">Private Student Loans</w:t>
      </w:r>
    </w:p>
    <w:p>
      <w:pPr>
        <w:spacing w:after="200" w:line="320"/>
        <w:jc w:val="both"/>
      </w:pPr>
      <w:r>
        <w:rPr>
          <w:rFonts w:ascii="Georgia" w:cs="Georgia" w:eastAsia="Georgia" w:hAnsi="Georgia"/>
          <w:color w:val="1A1A1A"/>
          <w:sz w:val="22"/>
          <w:szCs w:val="22"/>
        </w:rPr>
        <w:t xml:space="preserve">The $130 billion in private student loans presents a separate question. Private loans are held by private institutions whose participation in any retirement program is voluntary rather than required. Several approaches are possible: federal repayment of private loans at par value (most expensive), federal repayment at negotiated discount (intermediate), or federal infrastructure that allows borrowers to refinance private loans into federal terms before federal retirement (least expensive but slowest). The platform's approach to private student loans deserves separate analysis once the federal portfolio retirement is operational.</w:t>
      </w:r>
    </w:p>
    <w:p>
      <w:r>
        <w:br w:type="page"/>
      </w:r>
    </w:p>
    <w:p>
      <w:pPr>
        <w:pStyle w:val="Heading1"/>
        <w:spacing w:after="240" w:before="480"/>
      </w:pPr>
      <w:r>
        <w:rPr>
          <w:rFonts w:ascii="Arial" w:cs="Arial" w:eastAsia="Arial" w:hAnsi="Arial"/>
          <w:b/>
          <w:bCs/>
          <w:color w:val="1F4E78"/>
          <w:sz w:val="36"/>
          <w:szCs w:val="36"/>
        </w:rPr>
        <w:t xml:space="preserve">Honest Limitations</w:t>
      </w:r>
    </w:p>
    <w:p>
      <w:pPr>
        <w:spacing w:after="240" w:line="340"/>
        <w:jc w:val="both"/>
      </w:pPr>
      <w:r>
        <w:rPr>
          <w:rFonts w:ascii="Georgia" w:cs="Georgia" w:eastAsia="Georgia" w:hAnsi="Georgia"/>
          <w:color w:val="1A1A1A"/>
          <w:sz w:val="24"/>
          <w:szCs w:val="24"/>
        </w:rPr>
        <w:t xml:space="preserve">This analysis depends on assumptions that should be made explicit and that readers should evaluate critically rather than accept on the strength of the math alone.</w:t>
      </w:r>
    </w:p>
    <w:p>
      <w:pPr>
        <w:pStyle w:val="Heading3"/>
        <w:spacing w:after="120" w:before="240"/>
      </w:pPr>
      <w:r>
        <w:rPr>
          <w:rFonts w:ascii="Arial" w:cs="Arial" w:eastAsia="Arial" w:hAnsi="Arial"/>
          <w:b/>
          <w:bCs/>
          <w:color w:val="C00000"/>
          <w:sz w:val="22"/>
          <w:szCs w:val="22"/>
        </w:rPr>
        <w:t xml:space="preserve">The Models Assume Their Targets</w:t>
      </w:r>
    </w:p>
    <w:p>
      <w:pPr>
        <w:spacing w:after="200" w:line="320"/>
        <w:jc w:val="both"/>
      </w:pPr>
      <w:r>
        <w:rPr>
          <w:rFonts w:ascii="Georgia" w:cs="Georgia" w:eastAsia="Georgia" w:hAnsi="Georgia"/>
          <w:color w:val="1A1A1A"/>
          <w:sz w:val="22"/>
          <w:szCs w:val="22"/>
        </w:rPr>
        <w:t xml:space="preserve">The Sovereign Fund's growth trajectory comes from the Combined Reform Model, which assumes the platform's primary pillars operate as designed. If the retirement Sovereign Fund grows more slowly than projected (lower returns, lower contribution rates, demographic shifts), the disbursement capacity available for retroactive obligations would be smaller. If the fund grows faster than projected, the capacity is larger. The retirement scenarios above use the model's central projections. Sensitivity analysis at +/- 25% on fund growth would shift retirement timelines by approximately 3-5 years in either direction.</w:t>
      </w:r>
    </w:p>
    <w:p>
      <w:pPr>
        <w:spacing w:after="200" w:line="320"/>
        <w:jc w:val="both"/>
      </w:pPr>
      <w:r>
        <w:rPr>
          <w:rFonts w:ascii="Georgia" w:cs="Georgia" w:eastAsia="Georgia" w:hAnsi="Georgia"/>
          <w:color w:val="1A1A1A"/>
          <w:sz w:val="22"/>
          <w:szCs w:val="22"/>
        </w:rPr>
        <w:t>Similarly, the healthcare pillar's surplus trajectory depends on the universal healthcare Model's assumptions about administrative simplification, pharmaceutical pricing reform, and provider price negotiation. If these mechanisms produce smaller savings than projected, the surplus available for medical debt retirement is smaller.</w:t>
      </w:r>
    </w:p>
    <w:p>
      <w:pPr>
        <w:pStyle w:val="Heading3"/>
        <w:spacing w:after="120" w:before="240"/>
      </w:pPr>
      <w:r>
        <w:rPr>
          <w:rFonts w:ascii="Arial" w:cs="Arial" w:eastAsia="Arial" w:hAnsi="Arial"/>
          <w:b/>
          <w:bCs/>
          <w:color w:val="C00000"/>
          <w:sz w:val="22"/>
          <w:szCs w:val="22"/>
        </w:rPr>
        <w:t xml:space="preserve">The Political Window Required</w:t>
      </w:r>
    </w:p>
    <w:p>
      <w:pPr>
        <w:spacing w:after="200" w:line="320"/>
        <w:jc w:val="both"/>
      </w:pPr>
      <w:r>
        <w:rPr>
          <w:rFonts w:ascii="Georgia" w:cs="Georgia" w:eastAsia="Georgia" w:hAnsi="Georgia"/>
          <w:color w:val="1A1A1A"/>
          <w:sz w:val="22"/>
          <w:szCs w:val="22"/>
        </w:rPr>
        <w:t xml:space="preserve">Retroactive retirement requires sustained political commitment across multiple administrations. The platform's enactment in Year 1 requires political will. The pillar maturity required for surplus generation requires the platform to survive its first decade without significant reversal. The retroactive retirement itself requires policy decisions in Years 5+ to direct surplus capacity toward retirement rather than allowing it to accumulate or be redirected to other purposes. None of these are guaranteed. The analysis assumes a policy environment that supports the retirement program throughout its multi-decade implementation.</w:t>
      </w:r>
    </w:p>
    <w:p>
      <w:pPr>
        <w:pStyle w:val="Heading3"/>
        <w:spacing w:after="120" w:before="240"/>
      </w:pPr>
      <w:r>
        <w:rPr>
          <w:rFonts w:ascii="Arial" w:cs="Arial" w:eastAsia="Arial" w:hAnsi="Arial"/>
          <w:b/>
          <w:bCs/>
          <w:color w:val="C00000"/>
          <w:sz w:val="22"/>
          <w:szCs w:val="22"/>
        </w:rPr>
        <w:t xml:space="preserve">Operational Capacity</w:t>
      </w:r>
    </w:p>
    <w:p>
      <w:pPr>
        <w:spacing w:after="200" w:line="320"/>
        <w:jc w:val="both"/>
      </w:pPr>
      <w:r>
        <w:rPr>
          <w:rFonts w:ascii="Georgia" w:cs="Georgia" w:eastAsia="Georgia" w:hAnsi="Georgia"/>
          <w:color w:val="1A1A1A"/>
          <w:sz w:val="22"/>
          <w:szCs w:val="22"/>
        </w:rPr>
        <w:t xml:space="preserve">Retiring debt at the scales described above requires administrative infrastructure that does not currently exist. The Department of Education would need expanded capacity to process loan retirement at scale. Healthcare debt retirement would require coordination with healthcare providers, collection agencies, and credit bureaus to actually clear the debts in the systems that affect Americans' financial lives. Building this operational capacity requires lead time. The Year 5 start dates in the scenarios above assume the operational capacity is ready by then — which requires beginning the operational design work much earlier.</w:t>
      </w:r>
    </w:p>
    <w:p>
      <w:pPr>
        <w:pStyle w:val="Heading3"/>
        <w:spacing w:after="120" w:before="240"/>
      </w:pPr>
      <w:r>
        <w:rPr>
          <w:rFonts w:ascii="Arial" w:cs="Arial" w:eastAsia="Arial" w:hAnsi="Arial"/>
          <w:b/>
          <w:bCs/>
          <w:color w:val="C00000"/>
          <w:sz w:val="22"/>
          <w:szCs w:val="22"/>
        </w:rPr>
        <w:t xml:space="preserve">Equity Considerations</w:t>
      </w:r>
    </w:p>
    <w:p>
      <w:pPr>
        <w:spacing w:after="200" w:line="320"/>
        <w:jc w:val="both"/>
      </w:pPr>
      <w:r>
        <w:rPr>
          <w:rFonts w:ascii="Georgia" w:cs="Georgia" w:eastAsia="Georgia" w:hAnsi="Georgia"/>
          <w:color w:val="1A1A1A"/>
          <w:sz w:val="22"/>
          <w:szCs w:val="22"/>
        </w:rPr>
        <w:t xml:space="preserve">Across-the-board debt retirement is the simplest approach but raises equity questions. Some borrowers carry debt for educational programs that produced substantial economic benefits; others carry debt for programs that produced little. Some Americans avoided medical debt by foregoing necessary care; they receive no retroactive benefit, while those who incurred medical debt do. Various means-testing or program-completion tests could address these considerations but at the cost of substantial administrative complexity. The author leans toward simpler universal retirement on the grounds that means-tested programs reliably produce administrative complexity that erodes their benefits, but acknowledges the equity questions are real.</w:t>
      </w:r>
    </w:p>
    <w:p>
      <w:pPr>
        <w:pStyle w:val="Heading3"/>
        <w:spacing w:after="120" w:before="240"/>
      </w:pPr>
      <w:r>
        <w:rPr>
          <w:rFonts w:ascii="Arial" w:cs="Arial" w:eastAsia="Arial" w:hAnsi="Arial"/>
          <w:b/>
          <w:bCs/>
          <w:color w:val="C00000"/>
          <w:sz w:val="22"/>
          <w:szCs w:val="22"/>
        </w:rPr>
        <w:t xml:space="preserve">Moral Hazard Considerations</w:t>
      </w:r>
    </w:p>
    <w:p>
      <w:pPr>
        <w:spacing w:after="200" w:line="320"/>
        <w:jc w:val="both"/>
      </w:pPr>
      <w:r>
        <w:rPr>
          <w:rFonts w:ascii="Georgia" w:cs="Georgia" w:eastAsia="Georgia" w:hAnsi="Georgia"/>
          <w:color w:val="1A1A1A"/>
          <w:sz w:val="22"/>
          <w:szCs w:val="22"/>
        </w:rPr>
        <w:t xml:space="preserve">Critics of retroactive debt retirement raise the legitimate question of whether retiring existing debt encourages future borrowing on the assumption that future debt will also be retired. The platform addresses this concern structurally because the architecture replacing the previous system makes future student loans largely unnecessary (Sovereign Education Fund) and future medical debt structurally rare (universal healthcare). Retroactive retirement combined with structural prevention is different from retroactive retirement alone. The platform can argue the moral hazard concern is addressed precisely because the architecture has changed.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Even with these limitations, the basic conclusion holds: the platform's projected surplus capacity is large enough to retire both debts in phases without requiring new contribution rates. The honest acknowledgment of limitations affects the timing and magnitude of retirement but not whether retirement is achievable.</w:t>
            </w:r>
          </w:p>
        </w:tc>
      </w:tr>
    </w:tbl>
    <w:p>
      <w:r>
        <w:br w:type="page"/>
      </w:r>
    </w:p>
    <w:p>
      <w:pPr>
        <w:pStyle w:val="Heading1"/>
        <w:spacing w:after="240" w:before="480"/>
      </w:pPr>
      <w:r>
        <w:rPr>
          <w:rFonts w:ascii="Arial" w:cs="Arial" w:eastAsia="Arial" w:hAnsi="Arial"/>
          <w:b/>
          <w:bCs/>
          <w:color w:val="1F4E78"/>
          <w:sz w:val="36"/>
          <w:szCs w:val="36"/>
        </w:rPr>
        <w:t xml:space="preserve">The Deeper Observation</w:t>
      </w:r>
    </w:p>
    <w:p>
      <w:pPr>
        <w:spacing w:after="240" w:line="340"/>
        <w:jc w:val="both"/>
      </w:pPr>
      <w:r>
        <w:rPr>
          <w:rFonts w:ascii="Georgia" w:cs="Georgia" w:eastAsia="Georgia" w:hAnsi="Georgia"/>
          <w:color w:val="1A1A1A"/>
          <w:sz w:val="24"/>
          <w:szCs w:val="24"/>
        </w:rPr>
        <w:t xml:space="preserve">This analysis reveals something architecturally important about the platform that the original documents did not articulate explicitly.</w:t>
      </w:r>
    </w:p>
    <w:p>
      <w:pPr>
        <w:spacing w:after="200" w:line="320"/>
        <w:jc w:val="both"/>
      </w:pPr>
      <w:r>
        <w:rPr>
          <w:rFonts w:ascii="Georgia" w:cs="Georgia" w:eastAsia="Georgia" w:hAnsi="Georgia"/>
          <w:color w:val="1A1A1A"/>
          <w:sz w:val="22"/>
          <w:szCs w:val="22"/>
        </w:rPr>
        <w:t xml:space="preserve">The platform was designed to address problems going forward. Each pillar has a forward-looking purpose: the Sovereign Fund funds future retirement, the Education Fund funds future education, universal healthcare addresses future medical needs. The architecture was not designed with retroactive obligation in mind.</w:t>
      </w:r>
    </w:p>
    <w:p>
      <w:pPr>
        <w:spacing w:after="200" w:line="320"/>
        <w:jc w:val="both"/>
      </w:pPr>
      <w:r>
        <w:rPr>
          <w:rFonts w:ascii="Georgia" w:cs="Georgia" w:eastAsia="Georgia" w:hAnsi="Georgia"/>
          <w:color w:val="1A1A1A"/>
          <w:sz w:val="22"/>
          <w:szCs w:val="22"/>
        </w:rPr>
        <w:t xml:space="preserve">And yet the architecture produces sufficient surplus capacity, during its mature operation, to address retroactive obligations without compromising its forward-looking commitments. The Sovereign Fund's growth past Year 15 produces disbursement capacity well beyond what current education funding requires. The healthcare pillar's surplus exceeds the entire stock of medical debt within the pillar's first few years. The architecture's compounding effects produce capacity that can be applied to problems the architecture wasn't specifically designed to solve.</w:t>
      </w:r>
    </w:p>
    <w:p>
      <w:pPr>
        <w:spacing w:after="200" w:line="320"/>
        <w:jc w:val="both"/>
      </w:pPr>
      <w:r>
        <w:rPr>
          <w:rFonts w:ascii="Georgia" w:cs="Georgia" w:eastAsia="Georgia" w:hAnsi="Georgia"/>
          <w:color w:val="1A1A1A"/>
          <w:sz w:val="22"/>
          <w:szCs w:val="22"/>
        </w:rPr>
        <w:t xml:space="preserve">This is the same observation that emerged from the identity theft analysis earlier in this package: when good architecture produces benefits the designer didn't intend, the architecture is sound at a deeper level than any single domain analysis could verify. The platform's architectural choices — pooled contribution under transparent governance, empirical anchoring, structural fraud prevention — produce benefits that compound across multiple domains. Identity theft reduction. Retroactive debt retirement. Future workforce transition support. Each of these is a benefit the architecture produces beyond its primary purpose. The pattern suggests the architecture is doing something more right than the original design considerations could establish.</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platform's architecture has the capacity to repair some of what the previous system damaged. Universal infrastructure built for the future has surplus capacity that, redirected, can address the harms of the past.”</w:t>
            </w:r>
          </w:p>
        </w:tc>
      </w:tr>
    </w:tbl>
    <w:p>
      <w:pPr>
        <w:pStyle w:val="Heading3"/>
        <w:spacing w:after="120" w:before="240"/>
      </w:pPr>
      <w:r>
        <w:rPr>
          <w:rFonts w:ascii="Arial" w:cs="Arial" w:eastAsia="Arial" w:hAnsi="Arial"/>
          <w:b/>
          <w:bCs/>
          <w:color w:val="C00000"/>
          <w:sz w:val="22"/>
          <w:szCs w:val="22"/>
        </w:rPr>
        <w:t xml:space="preserve">A Note on What the Platform Becomes</w:t>
      </w:r>
    </w:p>
    <w:p>
      <w:pPr>
        <w:spacing w:after="200" w:line="320"/>
        <w:jc w:val="both"/>
      </w:pPr>
      <w:r>
        <w:rPr>
          <w:rFonts w:ascii="Georgia" w:cs="Georgia" w:eastAsia="Georgia" w:hAnsi="Georgia"/>
          <w:color w:val="1A1A1A"/>
          <w:sz w:val="22"/>
          <w:szCs w:val="22"/>
        </w:rPr>
        <w:t xml:space="preserve">If the retroactive debt retirement program is implemented, the platform becomes something more than forward-looking infrastructure. It becomes infrastructure that simultaneously prevents future harms, addresses current harms produced by the system it replaces, and builds capacity for unforeseen future challenges. This is a more comprehensive proposition than the original platform documents articulated. It is also a more politically powerful proposition, because retroactive relief produces immediate visible benefits during the platform's earliest years, when political support for continued implementation is most fragile.</w:t>
      </w:r>
    </w:p>
    <w:p>
      <w:pPr>
        <w:spacing w:after="200" w:line="320"/>
        <w:jc w:val="both"/>
      </w:pPr>
      <w:r>
        <w:rPr>
          <w:rFonts w:ascii="Georgia" w:cs="Georgia" w:eastAsia="Georgia" w:hAnsi="Georgia"/>
          <w:color w:val="1A1A1A"/>
          <w:sz w:val="22"/>
          <w:szCs w:val="22"/>
        </w:rPr>
        <w:t xml:space="preserve">Citizens who would not benefit from the platform's forward-looking pillars (because they're past the relevant life stages) become beneficiaries through retroactive retirement. Citizens currently constrained by debt that the platform's architecture would have prevented receive direct relief. The platform's political coalition expands beyond the population the original architecture explicitly served.</w:t>
      </w:r>
    </w:p>
    <w:p>
      <w:r>
        <w:br w:type="page"/>
      </w:r>
    </w:p>
    <w:p>
      <w:pPr>
        <w:pStyle w:val="Heading1"/>
        <w:spacing w:after="240" w:before="480"/>
      </w:pPr>
      <w:r>
        <w:rPr>
          <w:rFonts w:ascii="Arial" w:cs="Arial" w:eastAsia="Arial" w:hAnsi="Arial"/>
          <w:b/>
          <w:bCs/>
          <w:color w:val="1F4E78"/>
          <w:sz w:val="36"/>
          <w:szCs w:val="36"/>
        </w:rPr>
        <w:t xml:space="preserve">Closing</w:t>
      </w:r>
    </w:p>
    <w:p>
      <w:pPr>
        <w:spacing w:after="240" w:line="340"/>
        <w:jc w:val="both"/>
      </w:pPr>
      <w:r>
        <w:rPr>
          <w:rFonts w:ascii="Georgia" w:cs="Georgia" w:eastAsia="Georgia" w:hAnsi="Georgia"/>
          <w:color w:val="1A1A1A"/>
          <w:sz w:val="24"/>
          <w:szCs w:val="24"/>
        </w:rPr>
        <w:t xml:space="preserve">The platform's mathematics support phased retroactive retirement of both student loan debt and medical debt without requiring new revenue sources. The capacity exists in the platform's own surplus mechanisms during their mature operation.</w:t>
      </w:r>
    </w:p>
    <w:p>
      <w:pPr>
        <w:spacing w:after="200" w:line="320"/>
        <w:jc w:val="both"/>
      </w:pPr>
      <w:r>
        <w:rPr>
          <w:rFonts w:ascii="Georgia" w:cs="Georgia" w:eastAsia="Georgia" w:hAnsi="Georgia"/>
          <w:color w:val="1A1A1A"/>
          <w:sz w:val="22"/>
          <w:szCs w:val="22"/>
        </w:rPr>
        <w:t xml:space="preserve">Medical debt is small enough to be retired entirely from healthcare pillar surplus within the platform's first decade. Approximately 100 million Americans see their medical debt eliminated. The fiscal cost is modest. The human benefit is substantial.</w:t>
      </w:r>
    </w:p>
    <w:p>
      <w:pPr>
        <w:spacing w:after="200" w:line="320"/>
        <w:jc w:val="both"/>
      </w:pPr>
      <w:r>
        <w:rPr>
          <w:rFonts w:ascii="Georgia" w:cs="Georgia" w:eastAsia="Georgia" w:hAnsi="Georgia"/>
          <w:color w:val="1A1A1A"/>
          <w:sz w:val="22"/>
          <w:szCs w:val="22"/>
        </w:rPr>
        <w:t xml:space="preserve">Student loan debt is larger but still tractable. Federal student loans of $1.65 trillion can be retired across approximately 20 years using surplus disbursement capacity from the maturing Sovereign Fund. Tens of millions of Americans see their educational debt eliminated within their working lifetimes.</w:t>
      </w:r>
    </w:p>
    <w:p>
      <w:pPr>
        <w:spacing w:after="200" w:line="320"/>
        <w:jc w:val="both"/>
      </w:pPr>
      <w:r>
        <w:rPr>
          <w:rFonts w:ascii="Georgia" w:cs="Georgia" w:eastAsia="Georgia" w:hAnsi="Georgia"/>
          <w:color w:val="1A1A1A"/>
          <w:sz w:val="22"/>
          <w:szCs w:val="22"/>
        </w:rPr>
        <w:t xml:space="preserve">Both retirements are policy choices rather than mathematical possibilities. The capacity exists; the question is whether the political coalition supports its application to retroactive obligation. The author's recommendation is yes — the platform's architectural soundness is demonstrated by its capacity to repair damage from the previous system, not just to prevent damage going forward. Universal infrastructure built for the future deserves to address the harms accumulated under the system it replaces.</w:t>
      </w:r>
    </w:p>
    <w:p>
      <w:pPr>
        <w:spacing w:after="200" w:line="320"/>
        <w:jc w:val="both"/>
      </w:pPr>
      <w:r>
        <w:rPr>
          <w:rFonts w:ascii="Georgia" w:cs="Georgia" w:eastAsia="Georgia" w:hAnsi="Georgia"/>
          <w:color w:val="1A1A1A"/>
          <w:sz w:val="22"/>
          <w:szCs w:val="22"/>
        </w:rPr>
        <w:t xml:space="preserve">This document is offered as concept-level analysis. The detailed implementation design — administrative infrastructure, equity provisions, coordination with private debt holders, integration with credit bureaus and collection agencies — remains to be developed. What this document establishes is that the basic capacity exists. The remaining work is the operational and political work of converting that capacity into actual relief for the Americans who need it.</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 repairs the past as it builds the future. The same architecture that prevents future harms has the capacity to address harms already accumulated. The choice is whether to use it.”</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May 3,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Repairing the Past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3,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Repairing the Past — Retroactive Debt Retirement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Repairing the Past — Retroactive Debt Retirement</dc:title>
  <dc:creator>Jason Robertson</dc:creator>
  <cp:lastModifiedBy>Un-named</cp:lastModifiedBy>
  <cp:revision>1</cp:revision>
  <dcterms:created xsi:type="dcterms:W3CDTF">2026-05-03T20:35:23.421Z</dcterms:created>
  <dcterms:modified xsi:type="dcterms:W3CDTF">2026-05-03T20:35:23.422Z</dcterms:modified>
</cp:coreProperties>
</file>

<file path=docProps/custom.xml><?xml version="1.0" encoding="utf-8"?>
<Properties xmlns="http://schemas.openxmlformats.org/officeDocument/2006/custom-properties" xmlns:vt="http://schemas.openxmlformats.org/officeDocument/2006/docPropsVTypes"/>
</file>