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 xml:space="preserve">MODERNIZE AMERICAN</w:t>
      </w:r>
    </w:p>
    <w:p>
      <w:pPr>
        <w:spacing w:after="200"/>
        <w:jc w:val="center"/>
      </w:pPr>
      <w:r>
        <w:rPr>
          <w:rFonts w:ascii="Arial" w:cs="Arial" w:eastAsia="Arial" w:hAnsi="Arial"/>
          <w:b/>
          <w:bCs/>
          <w:color w:val="1F4E78"/>
          <w:sz w:val="46"/>
          <w:szCs w:val="46"/>
        </w:rPr>
        <w:t xml:space="preserve">CIVIC ENGAGEMENT</w:t>
      </w:r>
    </w:p>
    <w:p>
      <w:pPr>
        <w:spacing w:after="200"/>
        <w:jc w:val="center"/>
      </w:pPr>
      <w:r>
        <w:rPr>
          <w:rFonts w:ascii="Arial" w:cs="Arial" w:eastAsia="Arial" w:hAnsi="Arial"/>
          <w:i/>
          <w:iCs/>
          <w:color w:val="C00000"/>
          <w:sz w:val="28"/>
          <w:szCs w:val="28"/>
        </w:rPr>
        <w:t xml:space="preserve">An Integrated Argument</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Universal broadband (or library access).</w:t>
      </w:r>
    </w:p>
    <w:p>
      <w:pPr>
        <w:spacing w:after="200"/>
        <w:jc w:val="center"/>
      </w:pPr>
      <w:r>
        <w:rPr>
          <w:rFonts w:ascii="Georgia" w:cs="Georgia" w:eastAsia="Georgia" w:hAnsi="Georgia"/>
          <w:i/>
          <w:iCs/>
          <w:color w:val="1A1A1A"/>
          <w:sz w:val="24"/>
          <w:szCs w:val="24"/>
        </w:rPr>
        <w:t xml:space="preserve">A unified civic communication platform.</w:t>
      </w:r>
    </w:p>
    <w:p>
      <w:pPr>
        <w:spacing w:after="200"/>
        <w:jc w:val="center"/>
      </w:pPr>
      <w:r>
        <w:rPr>
          <w:rFonts w:ascii="Georgia" w:cs="Georgia" w:eastAsia="Georgia" w:hAnsi="Georgia"/>
          <w:i/>
          <w:iCs/>
          <w:color w:val="1A1A1A"/>
          <w:sz w:val="24"/>
          <w:szCs w:val="24"/>
        </w:rPr>
        <w:t xml:space="preserve">Pre-calculated taxes for citizen review.</w:t>
      </w:r>
    </w:p>
    <w:p>
      <w:pPr>
        <w:spacing w:after="1200"/>
        <w:jc w:val="center"/>
      </w:pPr>
      <w:r>
        <w:rPr>
          <w:rFonts w:ascii="Georgia" w:cs="Georgia" w:eastAsia="Georgia" w:hAnsi="Georgia"/>
          <w:i/>
          <w:iCs/>
          <w:color w:val="1A1A1A"/>
          <w:sz w:val="24"/>
          <w:szCs w:val="24"/>
        </w:rPr>
        <w:t xml:space="preserve">Three commitments that reinforce each other.</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v1.1  ·  Created May 4, 2026  ·  Updated May 4, 2026  ·  Updated May 6, 2026 for v2.26.2 (SIG-7: USF (Universal Service Fund) reference updated for v2.26 architectural shift)</w:t>
      </w:r>
    </w:p>
    <w:p>
      <w:pPr>
        <w:jc w:val="center"/>
      </w:pPr>
      <w:r>
        <w:rPr>
          <w:rFonts w:ascii="Georgia" w:cs="Georgia" w:eastAsia="Georgia" w:hAnsi="Georgia"/>
          <w:color w:val="595959"/>
          <w:sz w:val="20"/>
          <w:szCs w:val="20"/>
        </w:rPr>
        <w:t xml:space="preserve">Ohio  ·  2026</w:t>
      </w:r>
    </w:p>
    <w:p>
      <w:r>
        <w:br w:type="page"/>
      </w:r>
    </w:p>
    <w:p>
      <w:pPr>
        <w:spacing w:before="480"/>
        <w:jc w:val="center"/>
      </w:pPr>
      <w:r>
        <w:rPr>
          <w:rFonts w:ascii="Arial" w:cs="Arial" w:eastAsia="Arial" w:hAnsi="Arial"/>
          <w:i/>
          <w:iCs/>
          <w:color w:val="595959"/>
          <w:sz w:val="16"/>
          <w:szCs w:val="16"/>
        </w:rPr>
        <w:t>Sources Baseline. Numerical claims in this document derive from the canonical sources cataloged in 05_Sources_And_Derivation_Convention.docx, including: tax preparation industry revenue data ($30 billion annual figure for the tax prep industry); the Federal Fiscal Impact Analysis for $60 billion combined integrated-argument commitments; FCC data for broadband cost figures; FTC data for identity-theft cost figures.</w:t>
      </w:r>
    </w:p>
    <w:p>
      <w:pPr>
        <w:pStyle w:val="Heading1"/>
        <w:spacing w:after="240" w:before="480"/>
      </w:pPr>
      <w:r>
        <w:rPr>
          <w:rFonts w:ascii="Arial" w:cs="Arial" w:eastAsia="Arial" w:hAnsi="Arial"/>
          <w:b/>
          <w:bCs/>
          <w:color w:val="1F4E78"/>
          <w:sz w:val="36"/>
          <w:szCs w:val="36"/>
        </w:rPr>
        <w:t xml:space="preserve">The Argument</w:t>
      </w:r>
    </w:p>
    <w:p>
      <w:pPr>
        <w:spacing w:after="240" w:line="340"/>
        <w:jc w:val="both"/>
      </w:pPr>
      <w:r>
        <w:rPr>
          <w:rFonts w:ascii="Georgia" w:cs="Georgia" w:eastAsia="Georgia" w:hAnsi="Georgia"/>
          <w:color w:val="1A1A1A"/>
          <w:sz w:val="24"/>
          <w:szCs w:val="24"/>
        </w:rPr>
        <w:t xml:space="preserve">The platform's universal broadband commitment becomes substantially more compelling when paired with what universal broadband enables: a federal civic communication platform that lets every American engage with their government through a single authoritative channel, and a return-free tax filing system that eliminates the bureaucratic friction Americans currently experience every April. With public libraries serving as the universal backstop ensuring that even households who don't want broadband at home retain guaranteed access, the combined commitment delivers something tangible to every citizen: a modernized relationship with their government that catches up to what other developed countries have already built.</w:t>
      </w:r>
    </w:p>
    <w:p>
      <w:pPr>
        <w:pStyle w:val="Heading2"/>
        <w:spacing w:after="160" w:before="360"/>
      </w:pPr>
      <w:r>
        <w:rPr>
          <w:rFonts w:ascii="Arial" w:cs="Arial" w:eastAsia="Arial" w:hAnsi="Arial"/>
          <w:b/>
          <w:bCs/>
          <w:color w:val="1F4E78"/>
          <w:sz w:val="28"/>
          <w:szCs w:val="28"/>
        </w:rPr>
        <w:t xml:space="preserve">What This Document Argues</w:t>
      </w:r>
    </w:p>
    <w:p>
      <w:pPr>
        <w:spacing w:after="200" w:line="320"/>
        <w:jc w:val="both"/>
      </w:pPr>
      <w:r>
        <w:rPr>
          <w:rFonts w:ascii="Georgia" w:cs="Georgia" w:eastAsia="Georgia" w:hAnsi="Georgia"/>
          <w:color w:val="1A1A1A"/>
          <w:sz w:val="22"/>
          <w:szCs w:val="22"/>
        </w:rPr>
        <w:t xml:space="preserve">Three commitments, considered together, form a coherent and substantially stronger argument than any commitment considered alone:</w:t>
      </w:r>
    </w:p>
    <w:p>
      <w:pPr>
        <w:spacing w:after="200" w:line="320"/>
        <w:jc w:val="both"/>
      </w:pPr>
      <w:r>
        <w:rPr>
          <w:rFonts w:ascii="Georgia" w:cs="Georgia" w:eastAsia="Georgia" w:hAnsi="Georgia"/>
          <w:b/>
          <w:bCs/>
          <w:sz w:val="22"/>
          <w:szCs w:val="22"/>
        </w:rPr>
        <w:t xml:space="preserve">1. Universal connectivity. </w:t>
      </w:r>
      <w:r>
        <w:rPr>
          <w:rFonts w:ascii="Georgia" w:cs="Georgia" w:eastAsia="Georgia" w:hAnsi="Georgia"/>
          <w:color w:val="1A1A1A"/>
          <w:sz w:val="22"/>
          <w:szCs w:val="22"/>
        </w:rPr>
        <w:t xml:space="preserve">Free universal basic broadband (Path A from the Two Paths Compared analysis) at $50 billion per year, with public libraries serving as the universal backstop. Every American has guaranteed access to high-speed internet either at home or at a nearby library, with 100% coverage delivered automatically rather than through subsidy programs that systematically miss eligible households.</w:t>
      </w:r>
    </w:p>
    <w:p>
      <w:pPr>
        <w:spacing w:after="200" w:line="320"/>
        <w:jc w:val="both"/>
      </w:pPr>
      <w:r>
        <w:rPr>
          <w:rFonts w:ascii="Georgia" w:cs="Georgia" w:eastAsia="Georgia" w:hAnsi="Georgia"/>
          <w:b/>
          <w:bCs/>
          <w:sz w:val="22"/>
          <w:szCs w:val="22"/>
        </w:rPr>
        <w:t xml:space="preserve">2. A federal civic communication platform. </w:t>
      </w:r>
      <w:r>
        <w:rPr>
          <w:rFonts w:ascii="Georgia" w:cs="Georgia" w:eastAsia="Georgia" w:hAnsi="Georgia"/>
          <w:color w:val="1A1A1A"/>
          <w:sz w:val="22"/>
          <w:szCs w:val="22"/>
        </w:rPr>
        <w:t xml:space="preserve">A unified, authoritative digital platform that lets every American interact with their government in a single coherent way: secure messaging with their representatives, authenticated polls and public comment, a single source for accurate information about laws and programs, voter registration, election information, and access to services. Cost: approximately $5-8 billion per year. International precedent: Estonia, Singapore, Denmark, the UK, and South Korea have built versions that work.</w:t>
      </w:r>
    </w:p>
    <w:p>
      <w:pPr>
        <w:spacing w:after="200" w:line="320"/>
        <w:jc w:val="both"/>
      </w:pPr>
      <w:r>
        <w:rPr>
          <w:rFonts w:ascii="Georgia" w:cs="Georgia" w:eastAsia="Georgia" w:hAnsi="Georgia"/>
          <w:b/>
          <w:bCs/>
          <w:sz w:val="22"/>
          <w:szCs w:val="22"/>
        </w:rPr>
        <w:t>3. Return-free tax filing. The IRS (Internal Revenue Service) already has the data needed to calculate most Americans' taxes (W-2s, 1099s, mortgage interest, charitable contributions). Return-free filing means the government pre-calculates and sends taxpayers their proposed return for review and acceptance, the way it works in approximately 36 OECD countries. Federal cost: approximately $1-2 billion per year. Citizen savings: approximately $30 billion per year in tax preparation services plus 6 billion hours of compliance time.</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 xml:space="preserve">Why the Combined Argument Is Stronger</w:t>
      </w:r>
    </w:p>
    <w:p>
      <w:pPr>
        <w:spacing w:after="200" w:line="320"/>
        <w:jc w:val="both"/>
      </w:pPr>
      <w:r>
        <w:rPr>
          <w:rFonts w:ascii="Georgia" w:cs="Georgia" w:eastAsia="Georgia" w:hAnsi="Georgia"/>
          <w:color w:val="1A1A1A"/>
          <w:sz w:val="22"/>
          <w:szCs w:val="22"/>
        </w:rPr>
        <w:t xml:space="preserve">Each commitment has a defensible standalone case, but they reinforce each other in three ways that make the combined argument substantially harder to dismiss:</w:t>
      </w:r>
    </w:p>
    <w:p>
      <w:pPr>
        <w:pStyle w:val="Heading3"/>
        <w:spacing w:after="120" w:before="240"/>
      </w:pPr>
      <w:r>
        <w:rPr>
          <w:rFonts w:ascii="Arial" w:cs="Arial" w:eastAsia="Arial" w:hAnsi="Arial"/>
          <w:b/>
          <w:bCs/>
          <w:color w:val="C00000"/>
          <w:sz w:val="22"/>
          <w:szCs w:val="22"/>
        </w:rPr>
        <w:t xml:space="preserve">It answers the ‘infrastructure for what?’ question concretely</w:t>
      </w:r>
    </w:p>
    <w:p>
      <w:pPr>
        <w:spacing w:after="200" w:line="320"/>
        <w:jc w:val="both"/>
      </w:pPr>
      <w:r>
        <w:rPr>
          <w:rFonts w:ascii="Georgia" w:cs="Georgia" w:eastAsia="Georgia" w:hAnsi="Georgia"/>
          <w:color w:val="1A1A1A"/>
          <w:sz w:val="22"/>
          <w:szCs w:val="22"/>
        </w:rPr>
        <w:t xml:space="preserve">Free universal broadband as a standalone commitment is abstract. Opponents can attack it as government overreach in service of vague benefits. Adding the civic platform makes the answer concrete: the broadband infrastructure exists so every American has guaranteed access to a modernized way of engaging with their government. Adding return-free filing makes the answer immediate: the broadband infrastructure exists so every American can have their taxes calculated and presented for review without paying a private company $200-400 to do work the government has already done.</w:t>
      </w:r>
    </w:p>
    <w:p>
      <w:pPr>
        <w:spacing w:after="200" w:line="320"/>
        <w:jc w:val="both"/>
      </w:pPr>
      <w:r>
        <w:rPr>
          <w:rFonts w:ascii="Georgia" w:cs="Georgia" w:eastAsia="Georgia" w:hAnsi="Georgia"/>
          <w:color w:val="1A1A1A"/>
          <w:sz w:val="22"/>
          <w:szCs w:val="22"/>
        </w:rPr>
        <w:t xml:space="preserve">The shift from infrastructure-as-end to infrastructure-as-means changes the political conversation. ‘Free broadband’ sounds like a giveaway. ‘Modernize how Americans engage with their government, with universal access through home connectivity or local library’ sounds like overdue reform that catches up with countries that have already done it.</w:t>
      </w:r>
    </w:p>
    <w:p>
      <w:pPr>
        <w:pStyle w:val="Heading3"/>
        <w:spacing w:after="120" w:before="240"/>
      </w:pPr>
      <w:r>
        <w:rPr>
          <w:rFonts w:ascii="Arial" w:cs="Arial" w:eastAsia="Arial" w:hAnsi="Arial"/>
          <w:b/>
          <w:bCs/>
          <w:color w:val="C00000"/>
          <w:sz w:val="22"/>
          <w:szCs w:val="22"/>
        </w:rPr>
        <w:t xml:space="preserve">It addresses the ‘what about people who don't want home broadband’ objection</w:t>
      </w:r>
    </w:p>
    <w:p>
      <w:pPr>
        <w:spacing w:after="200" w:line="320"/>
        <w:jc w:val="both"/>
      </w:pPr>
      <w:r>
        <w:rPr>
          <w:rFonts w:ascii="Georgia" w:cs="Georgia" w:eastAsia="Georgia" w:hAnsi="Georgia"/>
          <w:color w:val="1A1A1A"/>
          <w:sz w:val="22"/>
          <w:szCs w:val="22"/>
        </w:rPr>
        <w:t xml:space="preserve">Some households genuinely won't want service installed: privacy preferences, off-grid lifestyle, distrust of providers, religious or cultural reasons, simple preference. Critics will argue (correctly) that universal broadband doesn't actually mean everyone uses broadband. Library access as the deliberate universal backstop addresses this directly. Every American has guaranteed access to the civic platform either at home or at their local library, with the platform's commitment to ensure libraries are adequately funded, connected, and operated.</w:t>
      </w:r>
    </w:p>
    <w:p>
      <w:pPr>
        <w:spacing w:after="200" w:line="320"/>
        <w:jc w:val="both"/>
      </w:pPr>
      <w:r>
        <w:rPr>
          <w:rFonts w:ascii="Georgia" w:cs="Georgia" w:eastAsia="Georgia" w:hAnsi="Georgia"/>
          <w:color w:val="1A1A1A"/>
          <w:sz w:val="22"/>
          <w:szCs w:val="22"/>
        </w:rPr>
        <w:t xml:space="preserve">This isn't a fallback admission of failure; it's a deliberate two-channel architecture. Some citizens prefer home connectivity and convenience; others prefer to do civic engagement at the library, in person, with help from a librarian if needed. Both channels are first-class. Neither is positioned as a lesser option for those who can't afford the better one. The platform's commitment is to universal access through the citizen's preferred channel, not to forcing everyone into a single delivery model.</w:t>
      </w:r>
    </w:p>
    <w:p>
      <w:pPr>
        <w:pStyle w:val="Heading3"/>
        <w:spacing w:after="120" w:before="240"/>
      </w:pPr>
      <w:r>
        <w:rPr>
          <w:rFonts w:ascii="Arial" w:cs="Arial" w:eastAsia="Arial" w:hAnsi="Arial"/>
          <w:b/>
          <w:bCs/>
          <w:color w:val="C00000"/>
          <w:sz w:val="22"/>
          <w:szCs w:val="22"/>
        </w:rPr>
        <w:t xml:space="preserve">It transforms the political argument from ‘spending’ to ‘modernization’</w:t>
      </w:r>
    </w:p>
    <w:p>
      <w:pPr>
        <w:spacing w:after="200" w:line="320"/>
        <w:jc w:val="both"/>
      </w:pPr>
      <w:r>
        <w:rPr>
          <w:rFonts w:ascii="Georgia" w:cs="Georgia" w:eastAsia="Georgia" w:hAnsi="Georgia"/>
          <w:color w:val="1A1A1A"/>
          <w:sz w:val="22"/>
          <w:szCs w:val="22"/>
        </w:rPr>
        <w:t>The standalone broadband argument requires defending federal spending on infrastructure. The standalone civic platform argument requires defending federal involvement in citizen-government communication. The standalone return-free filing argument requires defending the IRS doing more. Each is an uphill political fight. The combined argument flips the framing: the United States is behind dozens of other developed countries on Civic Technology modernization, and the platform's commitment is to catch up. Estonia, Singapore, Denmark, Japan, Sweden, and many others have built versions of what's being proposed. The political question isn't ‘should we add new federal programs?’ but ‘why are we behind these countries on Civic Infrastructure that they've demonstrated works?’</w:t>
      </w:r>
    </w:p>
    <w:p>
      <w:pPr>
        <w:spacing w:after="200" w:line="320"/>
        <w:jc w:val="both"/>
      </w:pPr>
      <w:r>
        <w:rPr>
          <w:rFonts w:ascii="Georgia" w:cs="Georgia" w:eastAsia="Georgia" w:hAnsi="Georgia"/>
          <w:color w:val="1A1A1A"/>
          <w:sz w:val="22"/>
          <w:szCs w:val="22"/>
        </w:rPr>
        <w:t xml:space="preserve">The tangible citizen benefits also become legible. Free broadband is abstract. Free broadband plus 'your taxes done for you, free' plus 'a real way to talk to your representative that isn't a contact form drowned in spam' is concrete. Most Americans interact with the IRS once a year, with their representatives rarely (because the current channels feel pointless), and with broadband daily. The combined commitment touches all three regular friction points in citizen-government interaction.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“The combined argument flips the framing: the US is behind dozens of countries on Civic Technology modernization. The platform's commitment is to catch up. Why are we behind countries that have demonstrated this works?”</w:t>
            </w:r>
          </w:p>
        </w:tc>
      </w:tr>
    </w:tbl>
    <w:p>
      <w:r>
        <w:br w:type="page"/>
      </w:r>
    </w:p>
    <w:p>
      <w:pPr>
        <w:pStyle w:val="Heading1"/>
        <w:spacing w:after="240" w:before="480"/>
      </w:pPr>
      <w:r>
        <w:rPr>
          <w:rFonts w:ascii="Arial" w:cs="Arial" w:eastAsia="Arial" w:hAnsi="Arial"/>
          <w:b/>
          <w:bCs/>
          <w:color w:val="1F4E78"/>
          <w:sz w:val="36"/>
          <w:szCs w:val="36"/>
        </w:rPr>
        <w:t xml:space="preserve">Component 1: Universal Connectivity</w:t>
      </w:r>
    </w:p>
    <w:p>
      <w:pPr>
        <w:spacing w:after="240" w:line="340"/>
        <w:jc w:val="both"/>
      </w:pPr>
      <w:r>
        <w:rPr>
          <w:rFonts w:ascii="Georgia" w:cs="Georgia" w:eastAsia="Georgia" w:hAnsi="Georgia"/>
          <w:color w:val="1A1A1A"/>
          <w:sz w:val="24"/>
          <w:szCs w:val="24"/>
        </w:rPr>
        <w:t xml:space="preserve">The connectivity commitment is the foundation that the other two commitments rely on. Without universal broadband, the civic communication platform reaches only the population that already has connectivity, reproducing existing inequalities. Without universal broadband, return-free filing reaches only those who can access the digital delivery channel. The broadband decision determines whether the other commitments can actually deliver universally.</w:t>
      </w:r>
    </w:p>
    <w:p>
      <w:pPr>
        <w:pStyle w:val="Heading2"/>
        <w:spacing w:after="160" w:before="360"/>
      </w:pPr>
      <w:r>
        <w:rPr>
          <w:rFonts w:ascii="Arial" w:cs="Arial" w:eastAsia="Arial" w:hAnsi="Arial"/>
          <w:b/>
          <w:bCs/>
          <w:color w:val="1F4E78"/>
          <w:sz w:val="28"/>
          <w:szCs w:val="28"/>
        </w:rPr>
        <w:t xml:space="preserve">Why Path A Becomes the Stronger Choice Under the Integrated Argument</w:t>
      </w:r>
    </w:p>
    <w:p>
      <w:pPr>
        <w:spacing w:after="200" w:line="320"/>
        <w:jc w:val="both"/>
      </w:pPr>
      <w:r>
        <w:rPr>
          <w:rFonts w:ascii="Georgia" w:cs="Georgia" w:eastAsia="Georgia" w:hAnsi="Georgia"/>
          <w:color w:val="1A1A1A"/>
          <w:sz w:val="22"/>
          <w:szCs w:val="22"/>
        </w:rPr>
        <w:t xml:space="preserve">The Two Paths Compared analysis demonstrated that both Path A (free universal basic broadband) and Path B (universal access plus affordability subsidy) fit within the platform's funding envelope. Path A costs the federal government approximately twice as much as Path B annually but delivers approximately half the total economic resource cost while achieving 100% coverage versus Path B's 88% effective coverage.</w:t>
      </w:r>
    </w:p>
    <w:p>
      <w:pPr>
        <w:spacing w:after="200" w:line="320"/>
        <w:jc w:val="both"/>
      </w:pPr>
      <w:r>
        <w:rPr>
          <w:rFonts w:ascii="Georgia" w:cs="Georgia" w:eastAsia="Georgia" w:hAnsi="Georgia"/>
          <w:color w:val="1A1A1A"/>
          <w:sz w:val="22"/>
          <w:szCs w:val="22"/>
        </w:rPr>
        <w:t xml:space="preserve">Under the integrated argument, the case for Path A becomes substantially stronger because the civic platform and return-free filing depend on universal connectivity to deliver their universality. Path B's 12% effective coverage gap (approximately 15.6 million households) means the civic platform reaches less of the population, return-free filing's digital delivery reaches less of the population, and the modernization commitment delivers less than universally. The cross-pillar enabling that makes the combined argument compelling requires Path A's structural universality.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Why integrated argument strengthens Path A specifically</w:t>
            </w:r>
          </w:p>
          <w:p>
            <w:pPr>
              <w:spacing w:after="100" w:line="280"/>
            </w:pPr>
            <w:r>
              <w:rPr>
                <w:rFonts w:ascii="Georgia" w:cs="Georgia" w:eastAsia="Georgia" w:hAnsi="Georgia"/>
                <w:color w:val="1A1A1A"/>
                <w:sz w:val="21"/>
                <w:szCs w:val="21"/>
              </w:rPr>
              <w:t xml:space="preserve">•  Civic platform reaching only 88% of households is not a credible 'universal civic engagement' commitment.</w:t>
            </w:r>
          </w:p>
          <w:p>
            <w:pPr>
              <w:spacing w:after="100" w:line="280"/>
            </w:pPr>
            <w:r>
              <w:rPr>
                <w:rFonts w:ascii="Georgia" w:cs="Georgia" w:eastAsia="Georgia" w:hAnsi="Georgia"/>
                <w:color w:val="1A1A1A"/>
                <w:sz w:val="21"/>
                <w:szCs w:val="21"/>
              </w:rPr>
              <w:t xml:space="preserve">•  Return-free filing benefiting only 88% of taxpayers leaves the most affordability-stressed taxpayers paying tax prep fees they can't easily afford.</w:t>
            </w:r>
          </w:p>
          <w:p>
            <w:pPr>
              <w:spacing w:after="100" w:line="280"/>
            </w:pPr>
            <w:r>
              <w:rPr>
                <w:rFonts w:ascii="Georgia" w:cs="Georgia" w:eastAsia="Georgia" w:hAnsi="Georgia"/>
                <w:color w:val="1A1A1A"/>
                <w:sz w:val="21"/>
                <w:szCs w:val="21"/>
              </w:rPr>
              <w:t xml:space="preserve">•  Library backstop helps but doesn't replace home connectivity for daily civic engagement, work, education, or healthcare access.</w:t>
            </w:r>
          </w:p>
          <w:p>
            <w:pPr>
              <w:spacing w:after="100" w:line="280"/>
            </w:pPr>
            <w:r>
              <w:rPr>
                <w:rFonts w:ascii="Georgia" w:cs="Georgia" w:eastAsia="Georgia" w:hAnsi="Georgia"/>
                <w:color w:val="1A1A1A"/>
                <w:sz w:val="21"/>
                <w:szCs w:val="21"/>
              </w:rPr>
              <w:t xml:space="preserve">•  Path B's structural enrollment gap concentrates in low-income populations — exactly the population the civic platform's modernization is most meant to serve.</w:t>
            </w:r>
          </w:p>
          <w:p>
            <w:pPr>
              <w:spacing w:after="100" w:line="280"/>
            </w:pPr>
            <w:r>
              <w:rPr>
                <w:rFonts w:ascii="Georgia" w:cs="Georgia" w:eastAsia="Georgia" w:hAnsi="Georgia"/>
                <w:color w:val="1A1A1A"/>
                <w:sz w:val="21"/>
                <w:szCs w:val="21"/>
              </w:rPr>
              <w:t xml:space="preserve">•  Path A's 100% coverage is what makes the modernization argument operationally credible, not just rhetorically attractive.</w:t>
            </w:r>
          </w:p>
        </w:tc>
      </w:tr>
    </w:tbl>
    <w:p>
      <w:pPr>
        <w:pStyle w:val="Heading2"/>
        <w:spacing w:after="160" w:before="360"/>
      </w:pPr>
      <w:r>
        <w:rPr>
          <w:rFonts w:ascii="Arial" w:cs="Arial" w:eastAsia="Arial" w:hAnsi="Arial"/>
          <w:b/>
          <w:bCs/>
          <w:color w:val="1F4E78"/>
          <w:sz w:val="28"/>
          <w:szCs w:val="28"/>
        </w:rPr>
        <w:t xml:space="preserve">The Library Backstop as Deliberate Architecture</w:t>
      </w:r>
    </w:p>
    <w:p>
      <w:pPr>
        <w:spacing w:after="200" w:line="320"/>
        <w:jc w:val="both"/>
      </w:pPr>
      <w:r>
        <w:rPr>
          <w:rFonts w:ascii="Georgia" w:cs="Georgia" w:eastAsia="Georgia" w:hAnsi="Georgia"/>
          <w:color w:val="1A1A1A"/>
          <w:sz w:val="22"/>
          <w:szCs w:val="22"/>
        </w:rPr>
        <w:t xml:space="preserve">Public libraries serve approximately 9,000 distinct US locations and reach communities that even the most efficient broadband deployment will struggle to fully cover (extreme rural areas, tribal lands, urban areas with high mobility). The library backstop is the platform's commitment that even households who haven't taken home broadband — for any reason — retain guaranteed access to the civic platform and digital services.</w:t>
      </w:r>
    </w:p>
    <w:p>
      <w:pPr>
        <w:spacing w:after="200" w:line="320"/>
        <w:jc w:val="both"/>
      </w:pPr>
      <w:r>
        <w:rPr>
          <w:rFonts w:ascii="Georgia" w:cs="Georgia" w:eastAsia="Georgia" w:hAnsi="Georgia"/>
          <w:color w:val="1A1A1A"/>
          <w:sz w:val="22"/>
          <w:szCs w:val="22"/>
        </w:rPr>
        <w:t xml:space="preserve">Operationally, this requires several specific commitments built into the Public Spaces and Civic Technology components of the Civic Infrastructure pillar: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Library universal-access commitments</w:t>
            </w:r>
          </w:p>
          <w:p>
            <w:pPr>
              <w:spacing w:after="100" w:line="280"/>
            </w:pPr>
            <w:r>
              <w:rPr>
                <w:rFonts w:ascii="Georgia" w:cs="Georgia" w:eastAsia="Georgia" w:hAnsi="Georgia"/>
                <w:color w:val="1A1A1A"/>
                <w:sz w:val="21"/>
                <w:szCs w:val="21"/>
              </w:rPr>
              <w:t xml:space="preserve">•  Every American is within 5 miles of a public library (Civic Infrastructure pillar's Public Spaces standard).</w:t>
            </w:r>
          </w:p>
          <w:p>
            <w:pPr>
              <w:spacing w:after="100" w:line="280"/>
            </w:pPr>
            <w:r>
              <w:rPr>
                <w:rFonts w:ascii="Georgia" w:cs="Georgia" w:eastAsia="Georgia" w:hAnsi="Georgia"/>
                <w:color w:val="1A1A1A"/>
                <w:sz w:val="21"/>
                <w:szCs w:val="21"/>
              </w:rPr>
              <w:t xml:space="preserve">•  Every public library has high-speed broadband connectivity (1 Gbps minimum to library, with sufficient internal infrastructure for concurrent users).</w:t>
            </w:r>
          </w:p>
          <w:p>
            <w:pPr>
              <w:spacing w:after="100" w:line="280"/>
            </w:pPr>
            <w:r>
              <w:rPr>
                <w:rFonts w:ascii="Georgia" w:cs="Georgia" w:eastAsia="Georgia" w:hAnsi="Georgia"/>
                <w:color w:val="1A1A1A"/>
                <w:sz w:val="21"/>
                <w:szCs w:val="21"/>
              </w:rPr>
              <w:t xml:space="preserve">•  Every public library has adequate public terminals (devices for citizen use), private rooms (for video calls with healthcare providers, legal counsel, government officials), and digital literacy support (librarian assistance and structured training programs).</w:t>
            </w:r>
          </w:p>
          <w:p>
            <w:pPr>
              <w:spacing w:after="100" w:line="280"/>
            </w:pPr>
            <w:r>
              <w:rPr>
                <w:rFonts w:ascii="Georgia" w:cs="Georgia" w:eastAsia="Georgia" w:hAnsi="Georgia"/>
                <w:color w:val="1A1A1A"/>
                <w:sz w:val="21"/>
                <w:szCs w:val="21"/>
              </w:rPr>
              <w:t xml:space="preserve">•  Library hours meet minimum operating standards (40+ hours per week, with evening and weekend hours covering working-citizen schedules).</w:t>
            </w:r>
          </w:p>
          <w:p>
            <w:pPr>
              <w:spacing w:after="100" w:line="280"/>
            </w:pPr>
            <w:r>
              <w:rPr>
                <w:rFonts w:ascii="Georgia" w:cs="Georgia" w:eastAsia="Georgia" w:hAnsi="Georgia"/>
                <w:color w:val="1A1A1A"/>
                <w:sz w:val="21"/>
                <w:szCs w:val="21"/>
              </w:rPr>
              <w:t xml:space="preserve">•  Library staffing includes digital civic engagement support roles — staff trained to help citizens use the civic platform, navigate government services, and complete return-free filing review.</w:t>
            </w:r>
          </w:p>
          <w:p>
            <w:pPr>
              <w:spacing w:after="100" w:line="280"/>
            </w:pPr>
            <w:r>
              <w:rPr>
                <w:rFonts w:ascii="Georgia" w:cs="Georgia" w:eastAsia="Georgia" w:hAnsi="Georgia"/>
                <w:color w:val="1A1A1A"/>
                <w:sz w:val="21"/>
                <w:szCs w:val="21"/>
              </w:rPr>
              <w:t xml:space="preserve">•  Tribal libraries and library-equivalent community spaces in unserved areas receive direct federal funding for parallel capability.</w:t>
            </w:r>
          </w:p>
        </w:tc>
      </w:tr>
    </w:tbl>
    <w:p>
      <w:pPr>
        <w:spacing w:after="200" w:line="320"/>
        <w:jc w:val="both"/>
      </w:pPr>
      <w:r>
        <w:rPr>
          <w:rFonts w:ascii="Georgia" w:cs="Georgia" w:eastAsia="Georgia" w:hAnsi="Georgia"/>
          <w:color w:val="1A1A1A"/>
          <w:sz w:val="22"/>
          <w:szCs w:val="22"/>
        </w:rPr>
        <w:t xml:space="preserve">These commitments expand the Public Spaces component of v2.3's Civic Infrastructure framing slightly but don't fundamentally restructure it. The libraries that already exist serve approximately 165 million annual visitors and 1.4 billion annual program attendees. The platform's investment converts existing physical infrastructure into modernized civic engagement infrastructure rather than building new institutions from scratch.</w:t>
      </w:r>
    </w:p>
    <w:p>
      <w:pPr>
        <w:pStyle w:val="Heading2"/>
        <w:spacing w:after="160" w:before="360"/>
      </w:pPr>
      <w:r>
        <w:rPr>
          <w:rFonts w:ascii="Arial" w:cs="Arial" w:eastAsia="Arial" w:hAnsi="Arial"/>
          <w:b/>
          <w:bCs/>
          <w:color w:val="1F4E78"/>
          <w:sz w:val="28"/>
          <w:szCs w:val="28"/>
        </w:rPr>
        <w:t xml:space="preserve">The Two-Channel Architecture in Practice</w:t>
      </w:r>
    </w:p>
    <w:p>
      <w:pPr>
        <w:spacing w:after="200" w:line="320"/>
        <w:jc w:val="both"/>
      </w:pPr>
      <w:r>
        <w:rPr>
          <w:rFonts w:ascii="Georgia" w:cs="Georgia" w:eastAsia="Georgia" w:hAnsi="Georgia"/>
          <w:color w:val="1A1A1A"/>
          <w:sz w:val="22"/>
          <w:szCs w:val="22"/>
        </w:rPr>
        <w:t xml:space="preserve">Citizens experience the civic engagement modernization through whichever channel they prefer:</w:t>
      </w:r>
    </w:p>
    <w:p>
      <w:pPr>
        <w:spacing w:after="200" w:line="320"/>
        <w:jc w:val="both"/>
      </w:pPr>
      <w:r>
        <w:rPr>
          <w:rFonts w:ascii="Georgia" w:cs="Georgia" w:eastAsia="Georgia" w:hAnsi="Georgia"/>
          <w:b/>
          <w:bCs/>
          <w:sz w:val="22"/>
          <w:szCs w:val="22"/>
        </w:rPr>
        <w:t xml:space="preserve">Home channel. </w:t>
      </w:r>
      <w:r>
        <w:rPr>
          <w:rFonts w:ascii="Georgia" w:cs="Georgia" w:eastAsia="Georgia" w:hAnsi="Georgia"/>
          <w:color w:val="1A1A1A"/>
          <w:sz w:val="22"/>
          <w:szCs w:val="22"/>
        </w:rPr>
        <w:t xml:space="preserve">Free 100/20 Mbps broadband, optionally upgraded to gigabit at private cost, with the civic platform accessed via web browser or app. Return-free filing review delivered to the citizen's authenticated account, completed at the kitchen table on whatever schedule fits the household. Daily civic engagement (representative communication, government services, healthcare scheduling, education access) integrates with the rest of household life.</w:t>
      </w:r>
    </w:p>
    <w:p>
      <w:pPr>
        <w:spacing w:after="200" w:line="320"/>
        <w:jc w:val="both"/>
      </w:pPr>
      <w:r>
        <w:rPr>
          <w:rFonts w:ascii="Georgia" w:cs="Georgia" w:eastAsia="Georgia" w:hAnsi="Georgia"/>
          <w:b/>
          <w:bCs/>
          <w:sz w:val="22"/>
          <w:szCs w:val="22"/>
        </w:rPr>
        <w:t xml:space="preserve">Library channel. </w:t>
      </w:r>
      <w:r>
        <w:rPr>
          <w:rFonts w:ascii="Georgia" w:cs="Georgia" w:eastAsia="Georgia" w:hAnsi="Georgia"/>
          <w:color w:val="1A1A1A"/>
          <w:sz w:val="22"/>
          <w:szCs w:val="22"/>
        </w:rPr>
        <w:t xml:space="preserve">Citizen visits the library, uses a public terminal or library WiFi with their own device, accesses the same civic platform with the same authenticated identity. Return-free filing review available with librarian assistance if needed. Private rooms available for confidential video calls (healthcare provider, legal counsel, immigration officer). Digital literacy training available for citizens who want help. The library experience is structurally equivalent to the home experience, with the addition of human assistance available.</w:t>
      </w:r>
    </w:p>
    <w:p>
      <w:pPr>
        <w:spacing w:after="200" w:line="320"/>
        <w:jc w:val="both"/>
      </w:pPr>
      <w:r>
        <w:rPr>
          <w:rFonts w:ascii="Georgia" w:cs="Georgia" w:eastAsia="Georgia" w:hAnsi="Georgia"/>
          <w:color w:val="1A1A1A"/>
          <w:sz w:val="22"/>
          <w:szCs w:val="22"/>
        </w:rPr>
        <w:t xml:space="preserve">Both channels deliver the same content, the same identity, the same authenticated access. A citizen can start a tax return review at home and complete it at the library, or vice versa. A citizen can write to their representative from either channel, with identical authentication and routing. Neither channel is positioned as a lesser fallback; each is a first-class delivery mechanism for the platform's commitments.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library channel is structurally equivalent to the home channel, with human assistance added. Neither is positioned as a lesser fallback. Each is a first-class delivery mechanism.”</w:t>
            </w:r>
          </w:p>
        </w:tc>
      </w:tr>
    </w:tbl>
    <w:p>
      <w:r>
        <w:br w:type="page"/>
      </w:r>
    </w:p>
    <w:p>
      <w:pPr>
        <w:pStyle w:val="Heading1"/>
        <w:spacing w:after="240" w:before="480"/>
      </w:pPr>
      <w:r>
        <w:rPr>
          <w:rFonts w:ascii="Arial" w:cs="Arial" w:eastAsia="Arial" w:hAnsi="Arial"/>
          <w:b/>
          <w:bCs/>
          <w:color w:val="1F4E78"/>
          <w:sz w:val="36"/>
          <w:szCs w:val="36"/>
        </w:rPr>
        <w:t xml:space="preserve">Component 2: Federal Civic Communication Platform</w:t>
      </w:r>
    </w:p>
    <w:p>
      <w:pPr>
        <w:spacing w:after="240" w:line="340"/>
        <w:jc w:val="both"/>
      </w:pPr>
      <w:r>
        <w:rPr>
          <w:rFonts w:ascii="Georgia" w:cs="Georgia" w:eastAsia="Georgia" w:hAnsi="Georgia"/>
          <w:color w:val="1A1A1A"/>
          <w:sz w:val="24"/>
          <w:szCs w:val="24"/>
        </w:rPr>
        <w:t xml:space="preserve">The civic communication platform is the central new infrastructure the integrated argument adds. It consolidates the current fragmented mess of citizen-government interaction into a single authoritative platform: secure messaging with representatives, authenticated polls and public comment, voter registration and election information, access to government services, and a single source of accurate information about laws, regulations, and programs.</w:t>
      </w:r>
    </w:p>
    <w:p>
      <w:pPr>
        <w:pStyle w:val="Heading2"/>
        <w:spacing w:after="160" w:before="360"/>
      </w:pPr>
      <w:r>
        <w:rPr>
          <w:rFonts w:ascii="Arial" w:cs="Arial" w:eastAsia="Arial" w:hAnsi="Arial"/>
          <w:b/>
          <w:bCs/>
          <w:color w:val="1F4E78"/>
          <w:sz w:val="28"/>
          <w:szCs w:val="28"/>
        </w:rPr>
        <w:t xml:space="preserve">What the Platform Provides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Core platform capabilities</w:t>
            </w:r>
          </w:p>
          <w:p>
            <w:pPr>
              <w:spacing w:after="100" w:line="280"/>
            </w:pPr>
            <w:r>
              <w:rPr>
                <w:rFonts w:ascii="Georgia" w:cs="Georgia" w:eastAsia="Georgia" w:hAnsi="Georgia"/>
                <w:color w:val="1A1A1A"/>
                <w:sz w:val="21"/>
                <w:szCs w:val="21"/>
              </w:rPr>
              <w:t xml:space="preserve">•  Authenticated identity for every American citizen (privacy-preserving, citizen-controlled, federated).</w:t>
            </w:r>
          </w:p>
          <w:p>
            <w:pPr>
              <w:spacing w:after="100" w:line="280"/>
            </w:pPr>
            <w:r>
              <w:rPr>
                <w:rFonts w:ascii="Georgia" w:cs="Georgia" w:eastAsia="Georgia" w:hAnsi="Georgia"/>
                <w:color w:val="1A1A1A"/>
                <w:sz w:val="21"/>
                <w:szCs w:val="21"/>
              </w:rPr>
              <w:t xml:space="preserve">•  Secure end-to-end encrypted messaging between citizens and their elected representatives at federal, state, and local levels.</w:t>
            </w:r>
          </w:p>
          <w:p>
            <w:pPr>
              <w:spacing w:after="100" w:line="280"/>
            </w:pPr>
            <w:r>
              <w:rPr>
                <w:rFonts w:ascii="Georgia" w:cs="Georgia" w:eastAsia="Georgia" w:hAnsi="Georgia"/>
                <w:color w:val="1A1A1A"/>
                <w:sz w:val="21"/>
                <w:szCs w:val="21"/>
              </w:rPr>
              <w:t xml:space="preserve">•  Verified polls and public comment mechanisms (one citizen, one vote per poll; no astroturfing; no foreign interference).</w:t>
            </w:r>
          </w:p>
          <w:p>
            <w:pPr>
              <w:spacing w:after="100" w:line="280"/>
            </w:pPr>
            <w:r>
              <w:rPr>
                <w:rFonts w:ascii="Georgia" w:cs="Georgia" w:eastAsia="Georgia" w:hAnsi="Georgia"/>
                <w:color w:val="1A1A1A"/>
                <w:sz w:val="21"/>
                <w:szCs w:val="21"/>
              </w:rPr>
              <w:t xml:space="preserve">•  Single authoritative source for laws, regulations, programs, eligibility, and government services (replacing the current fragmented mess of agency websites, contact forms, and unofficial sources).</w:t>
            </w:r>
          </w:p>
          <w:p>
            <w:pPr>
              <w:spacing w:after="100" w:line="280"/>
            </w:pPr>
            <w:r>
              <w:rPr>
                <w:rFonts w:ascii="Georgia" w:cs="Georgia" w:eastAsia="Georgia" w:hAnsi="Georgia"/>
                <w:color w:val="1A1A1A"/>
                <w:sz w:val="21"/>
                <w:szCs w:val="21"/>
              </w:rPr>
              <w:t xml:space="preserve">•  Voter registration, election information, polling place identification, and ballot tracking integrated.</w:t>
            </w:r>
          </w:p>
          <w:p>
            <w:pPr>
              <w:spacing w:after="100" w:line="280"/>
            </w:pPr>
            <w:r>
              <w:rPr>
                <w:rFonts w:ascii="Georgia" w:cs="Georgia" w:eastAsia="Georgia" w:hAnsi="Georgia"/>
                <w:color w:val="1A1A1A"/>
                <w:sz w:val="21"/>
                <w:szCs w:val="21"/>
              </w:rPr>
              <w:t xml:space="preserve">•  Access to government services: healthcare enrollment (Medicare/Medicaid/platform's universal coverage), Social Security (and platform's retirement architecture), educational aid, immigration matters, veterans services.</w:t>
            </w:r>
          </w:p>
          <w:p>
            <w:pPr>
              <w:spacing w:after="100" w:line="280"/>
            </w:pPr>
            <w:r>
              <w:rPr>
                <w:rFonts w:ascii="Georgia" w:cs="Georgia" w:eastAsia="Georgia" w:hAnsi="Georgia"/>
                <w:color w:val="1A1A1A"/>
                <w:sz w:val="21"/>
                <w:szCs w:val="21"/>
              </w:rPr>
              <w:t xml:space="preserve">•  Public comment on federal regulations (replacing Regulations.gov with better usability and authentication).</w:t>
            </w:r>
          </w:p>
          <w:p>
            <w:pPr>
              <w:spacing w:after="100" w:line="280"/>
            </w:pPr>
            <w:r>
              <w:rPr>
                <w:rFonts w:ascii="Georgia" w:cs="Georgia" w:eastAsia="Georgia" w:hAnsi="Georgia"/>
                <w:color w:val="1A1A1A"/>
                <w:sz w:val="21"/>
                <w:szCs w:val="21"/>
              </w:rPr>
              <w:t xml:space="preserve">•  Direct access to representative voting records, sponsored legislation, committee assignments, contact information.</w:t>
            </w:r>
          </w:p>
          <w:p>
            <w:pPr>
              <w:spacing w:after="100" w:line="280"/>
            </w:pPr>
            <w:r>
              <w:rPr>
                <w:rFonts w:ascii="Georgia" w:cs="Georgia" w:eastAsia="Georgia" w:hAnsi="Georgia"/>
                <w:color w:val="1A1A1A"/>
                <w:sz w:val="21"/>
                <w:szCs w:val="21"/>
              </w:rPr>
              <w:t xml:space="preserve">•  Town hall and public forum capabilities (digital + hybrid in-person/digital), with verified citizen participation and protected free speech.</w:t>
            </w:r>
          </w:p>
        </w:tc>
      </w:tr>
    </w:tbl>
    <w:p>
      <w:pPr>
        <w:pStyle w:val="Heading2"/>
        <w:spacing w:after="160" w:before="360"/>
      </w:pPr>
      <w:r>
        <w:rPr>
          <w:rFonts w:ascii="Arial" w:cs="Arial" w:eastAsia="Arial" w:hAnsi="Arial"/>
          <w:b/>
          <w:bCs/>
          <w:color w:val="1F4E78"/>
          <w:sz w:val="28"/>
          <w:szCs w:val="28"/>
        </w:rPr>
        <w:t xml:space="preserve">International Precedent</w:t>
      </w:r>
    </w:p>
    <w:p>
      <w:pPr>
        <w:spacing w:after="200" w:line="320"/>
        <w:jc w:val="both"/>
      </w:pPr>
      <w:r>
        <w:rPr>
          <w:rFonts w:ascii="Georgia" w:cs="Georgia" w:eastAsia="Georgia" w:hAnsi="Georgia"/>
          <w:color w:val="1A1A1A"/>
          <w:sz w:val="22"/>
          <w:szCs w:val="22"/>
        </w:rPr>
        <w:t>This isn't speculative architecture. Multiple countries have built versions of what's being proposed and the platform can learn from their successes and failures. The US is genuinely behind on Civic Technology infrastructure, and catching up is the operational task rather than inventing something new.</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Country</w:t>
            </w:r>
          </w:p>
        </w:tc>
        <w:tc>
          <w:tcPr>
            <w:tcW w:type="dxa" w:w="2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System</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Coverage</w:t>
            </w:r>
          </w:p>
        </w:tc>
        <w:tc>
          <w:tcPr>
            <w:tcW w:type="dxa" w:w="31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Estonia</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e-Estonia + e-Residency</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~99% of residents</w:t>
            </w:r>
          </w:p>
        </w:tc>
        <w:tc>
          <w:tcPr>
            <w:tcW w:type="dxa" w:w="3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Gold standard. Digital identity since 2002, 99% of services online, digital voting.</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Singapore</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Singpass</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~97% of residents</w:t>
            </w:r>
          </w:p>
        </w:tc>
        <w:tc>
          <w:tcPr>
            <w:tcW w:type="dxa" w:w="31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Single login for 1,700+ government services. Strong privacy protections.</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Denmark</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borger.dk + MitID</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~95% of residents</w:t>
            </w:r>
          </w:p>
        </w:tc>
        <w:tc>
          <w:tcPr>
            <w:tcW w:type="dxa" w:w="3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Single citizen portal. Mandatory digital communication with government for most services.</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United Kingdom</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gov.uk + Verify (now One Login)</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 of services</w:t>
            </w:r>
          </w:p>
        </w:tc>
        <w:tc>
          <w:tcPr>
            <w:tcW w:type="dxa" w:w="31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Consolidated hundreds of agency websites. Strong design and accessibility standards.</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South Korea</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Government 24</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~90% of residents</w:t>
            </w:r>
          </w:p>
        </w:tc>
        <w:tc>
          <w:tcPr>
            <w:tcW w:type="dxa" w:w="3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Single portal, integrated with mobile-first identity.</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Sweden</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BankID + Mina sidor</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~94% of residents</w:t>
            </w:r>
          </w:p>
        </w:tc>
        <w:tc>
          <w:tcPr>
            <w:tcW w:type="dxa" w:w="31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Identity provided by banks. Privacy-preserving citizen access to all government services.</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Netherlands</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DigiD + MijnOverheid</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~92% of residents</w:t>
            </w:r>
          </w:p>
        </w:tc>
        <w:tc>
          <w:tcPr>
            <w:tcW w:type="dxa" w:w="31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Single login, citizen-controlled data, strong governance.</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United States</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USA.gov + Login.gov</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 of services</w:t>
            </w:r>
          </w:p>
        </w:tc>
        <w:tc>
          <w:tcPr>
            <w:tcW w:type="dxa" w:w="31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Fragmented, partial, opt-in. Far behind peer countries.</w:t>
            </w:r>
          </w:p>
        </w:tc>
      </w:tr>
    </w:tbl>
    <w:p>
      <w:pPr>
        <w:spacing w:after="240"/>
      </w:pPr>
      <w:r>
        <w:t xml:space="preserve"/>
      </w:r>
    </w:p>
    <w:p>
      <w:pPr>
        <w:spacing w:after="200" w:line="320"/>
        <w:jc w:val="both"/>
      </w:pPr>
      <w:r>
        <w:rPr>
          <w:rFonts w:ascii="Georgia" w:cs="Georgia" w:eastAsia="Georgia" w:hAnsi="Georgia"/>
          <w:color w:val="1A1A1A"/>
          <w:sz w:val="22"/>
          <w:szCs w:val="22"/>
        </w:rPr>
        <w:t xml:space="preserve">The US gap isn't technical — the technology exists, has been deployed at scale in multiple countries, and has been refined through 15-20 years of operational experience. The gap is institutional and political. Federal agencies have built their own siloed systems, the existing federated identity infrastructure (Login.gov) covers a small fraction of services, and consolidation has been blocked by inter-agency politics rather than technical complexity.</w:t>
      </w:r>
    </w:p>
    <w:p>
      <w:pPr>
        <w:pStyle w:val="Heading2"/>
        <w:spacing w:after="160" w:before="360"/>
      </w:pPr>
      <w:r>
        <w:rPr>
          <w:rFonts w:ascii="Arial" w:cs="Arial" w:eastAsia="Arial" w:hAnsi="Arial"/>
          <w:b/>
          <w:bCs/>
          <w:color w:val="1F4E78"/>
          <w:sz w:val="28"/>
          <w:szCs w:val="28"/>
        </w:rPr>
        <w:t xml:space="preserve">Architectural Principles</w:t>
      </w:r>
    </w:p>
    <w:p>
      <w:pPr>
        <w:spacing w:after="200" w:line="320"/>
        <w:jc w:val="both"/>
      </w:pPr>
      <w:r>
        <w:rPr>
          <w:rFonts w:ascii="Georgia" w:cs="Georgia" w:eastAsia="Georgia" w:hAnsi="Georgia"/>
          <w:color w:val="1A1A1A"/>
          <w:sz w:val="22"/>
          <w:szCs w:val="22"/>
        </w:rPr>
        <w:t xml:space="preserve">Several design principles, drawn from international experience and US-specific considerations, should govern the platform's implementation:</w:t>
      </w:r>
    </w:p>
    <w:p>
      <w:pPr>
        <w:spacing w:after="200" w:line="320"/>
        <w:jc w:val="both"/>
      </w:pPr>
      <w:r>
        <w:rPr>
          <w:rFonts w:ascii="Georgia" w:cs="Georgia" w:eastAsia="Georgia" w:hAnsi="Georgia"/>
          <w:b/>
          <w:bCs/>
          <w:sz w:val="22"/>
          <w:szCs w:val="22"/>
        </w:rPr>
        <w:t xml:space="preserve">Privacy-preserving authentication. </w:t>
      </w:r>
      <w:r>
        <w:rPr>
          <w:rFonts w:ascii="Georgia" w:cs="Georgia" w:eastAsia="Georgia" w:hAnsi="Georgia"/>
          <w:color w:val="1A1A1A"/>
          <w:sz w:val="22"/>
          <w:szCs w:val="22"/>
        </w:rPr>
        <w:t xml:space="preserve">The platform must verify that a participant is a real US citizen entitled to engage without creating a centralized database of which citizen said what to which representative. Estonia's model uses cryptographic credentials that prove eligibility without revealing identity to non-essential parties. Sweden uses bank-issued identity (citizen chooses their bank, bank vouches for identity) to avoid government-controlled identity infrastructure. The US implementation should follow these patterns: prove eligibility, don't create surveillance database.</w:t>
      </w:r>
    </w:p>
    <w:p>
      <w:pPr>
        <w:spacing w:after="200" w:line="320"/>
        <w:jc w:val="both"/>
      </w:pPr>
      <w:r>
        <w:rPr>
          <w:rFonts w:ascii="Georgia" w:cs="Georgia" w:eastAsia="Georgia" w:hAnsi="Georgia"/>
          <w:b/>
          <w:bCs/>
          <w:sz w:val="22"/>
          <w:szCs w:val="22"/>
        </w:rPr>
        <w:t xml:space="preserve">End-to-end encryption for sensitive communication. </w:t>
      </w:r>
      <w:r>
        <w:rPr>
          <w:rFonts w:ascii="Georgia" w:cs="Georgia" w:eastAsia="Georgia" w:hAnsi="Georgia"/>
          <w:color w:val="1A1A1A"/>
          <w:sz w:val="22"/>
          <w:szCs w:val="22"/>
        </w:rPr>
        <w:t xml:space="preserve">Citizen messages to representatives, healthcare communications, legal matters, and other sensitive content must be end-to-end encrypted. The platform routes the message but doesn't read it. This isn't optional design — it's the difference between a civic platform and a surveillance platform.</w:t>
      </w:r>
    </w:p>
    <w:p>
      <w:pPr>
        <w:spacing w:after="200" w:line="320"/>
        <w:jc w:val="both"/>
      </w:pPr>
      <w:r>
        <w:rPr>
          <w:rFonts w:ascii="Georgia" w:cs="Georgia" w:eastAsia="Georgia" w:hAnsi="Georgia"/>
          <w:b/>
          <w:bCs/>
          <w:sz w:val="22"/>
          <w:szCs w:val="22"/>
        </w:rPr>
        <w:t xml:space="preserve">Citizen ownership of data. </w:t>
      </w:r>
      <w:r>
        <w:rPr>
          <w:rFonts w:ascii="Georgia" w:cs="Georgia" w:eastAsia="Georgia" w:hAnsi="Georgia"/>
          <w:color w:val="1A1A1A"/>
          <w:sz w:val="22"/>
          <w:szCs w:val="22"/>
        </w:rPr>
        <w:t xml:space="preserve">Every citizen has the right to view, export, and delete their own data. No agency may retain civic platform records beyond statutory requirements. Citizens can use the platform pseudonymously where authentication doesn't require legal identity (e.g., public polls verified-citizen-but-not-named).</w:t>
      </w:r>
    </w:p>
    <w:p>
      <w:pPr>
        <w:spacing w:after="200" w:line="320"/>
        <w:jc w:val="both"/>
      </w:pPr>
      <w:r>
        <w:rPr>
          <w:rFonts w:ascii="Georgia" w:cs="Georgia" w:eastAsia="Georgia" w:hAnsi="Georgia"/>
          <w:b/>
          <w:bCs/>
          <w:sz w:val="22"/>
          <w:szCs w:val="22"/>
        </w:rPr>
        <w:t xml:space="preserve">Federated rather than centralized architecture. </w:t>
      </w:r>
      <w:r>
        <w:rPr>
          <w:rFonts w:ascii="Georgia" w:cs="Georgia" w:eastAsia="Georgia" w:hAnsi="Georgia"/>
          <w:color w:val="1A1A1A"/>
          <w:sz w:val="22"/>
          <w:szCs w:val="22"/>
        </w:rPr>
        <w:t xml:space="preserve">The platform doesn't replace agency systems; it provides a unified citizen interface to federated agency systems. The IRS keeps tax data; the Social Security Administration keeps benefit data; the State Department keeps passport data. The citizen sees a unified experience but no single agency or database holds everything.</w:t>
      </w:r>
    </w:p>
    <w:p>
      <w:pPr>
        <w:spacing w:after="200" w:line="320"/>
        <w:jc w:val="both"/>
      </w:pPr>
      <w:r>
        <w:rPr>
          <w:rFonts w:ascii="Georgia" w:cs="Georgia" w:eastAsia="Georgia" w:hAnsi="Georgia"/>
          <w:b/>
          <w:bCs/>
          <w:sz w:val="22"/>
          <w:szCs w:val="22"/>
        </w:rPr>
        <w:t xml:space="preserve">Open source and auditable. </w:t>
      </w:r>
      <w:r>
        <w:rPr>
          <w:rFonts w:ascii="Georgia" w:cs="Georgia" w:eastAsia="Georgia" w:hAnsi="Georgia"/>
          <w:color w:val="1A1A1A"/>
          <w:sz w:val="22"/>
          <w:szCs w:val="22"/>
        </w:rPr>
        <w:t xml:space="preserve">The platform's codebase is public and auditable. Independent security researchers can find and report vulnerabilities. Cryptographic protocols are publicly reviewable. Trust comes from transparency, not from agency assurance.</w:t>
      </w:r>
    </w:p>
    <w:p>
      <w:pPr>
        <w:spacing w:after="200" w:line="320"/>
        <w:jc w:val="both"/>
      </w:pPr>
      <w:r>
        <w:rPr>
          <w:rFonts w:ascii="Georgia" w:cs="Georgia" w:eastAsia="Georgia" w:hAnsi="Georgia"/>
          <w:b/>
          <w:bCs/>
          <w:sz w:val="22"/>
          <w:szCs w:val="22"/>
        </w:rPr>
        <w:t xml:space="preserve">Statutory free speech protections. </w:t>
      </w:r>
      <w:r>
        <w:rPr>
          <w:rFonts w:ascii="Georgia" w:cs="Georgia" w:eastAsia="Georgia" w:hAnsi="Georgia"/>
          <w:color w:val="1A1A1A"/>
          <w:sz w:val="22"/>
          <w:szCs w:val="22"/>
        </w:rPr>
        <w:t xml:space="preserve">The platform doesn't moderate political speech in citizen communication with representatives. Threats and direct harassment are addressable through existing law (and through the representative's office choosing not to engage with abusive constituents). Political speech, including unpopular political speech, gets carried, not filtered. This should be statutorily protected to prevent future administrations from changing the rules.</w:t>
      </w:r>
    </w:p>
    <w:p>
      <w:pPr>
        <w:spacing w:after="200" w:line="320"/>
        <w:jc w:val="both"/>
      </w:pPr>
      <w:r>
        <w:rPr>
          <w:rFonts w:ascii="Georgia" w:cs="Georgia" w:eastAsia="Georgia" w:hAnsi="Georgia"/>
          <w:b/>
          <w:bCs/>
          <w:sz w:val="22"/>
          <w:szCs w:val="22"/>
        </w:rPr>
        <w:t xml:space="preserve">Judicial oversight of law enforcement access. </w:t>
      </w:r>
      <w:r>
        <w:rPr>
          <w:rFonts w:ascii="Georgia" w:cs="Georgia" w:eastAsia="Georgia" w:hAnsi="Georgia"/>
          <w:color w:val="1A1A1A"/>
          <w:sz w:val="22"/>
          <w:szCs w:val="22"/>
        </w:rPr>
        <w:t xml:space="preserve">Any law enforcement access to platform records requires judicial warrant with specific probable cause. No bulk collection. No back doors. The platform serves citizens; it doesn't serve law enforcement except through normal warrant processes that apply to any other private communication.</w:t>
      </w:r>
    </w:p>
    <w:p>
      <w:pPr>
        <w:pStyle w:val="Heading2"/>
        <w:spacing w:after="160" w:before="360"/>
      </w:pPr>
      <w:r>
        <w:rPr>
          <w:rFonts w:ascii="Arial" w:cs="Arial" w:eastAsia="Arial" w:hAnsi="Arial"/>
          <w:b/>
          <w:bCs/>
          <w:color w:val="1F4E78"/>
          <w:sz w:val="28"/>
          <w:szCs w:val="28"/>
        </w:rPr>
        <w:t xml:space="preserve">Cost and Implementation</w:t>
      </w:r>
    </w:p>
    <w:p>
      <w:pPr>
        <w:spacing w:after="200" w:line="320"/>
        <w:jc w:val="both"/>
      </w:pPr>
      <w:r>
        <w:rPr>
          <w:rFonts w:ascii="Georgia" w:cs="Georgia" w:eastAsia="Georgia" w:hAnsi="Georgia"/>
          <w:color w:val="1A1A1A"/>
          <w:sz w:val="22"/>
          <w:szCs w:val="22"/>
        </w:rPr>
        <w:t xml:space="preserve">Initial build cost (years 1-5): approximately $3-5 billion total, distributed across federal identity infrastructure expansion (Login.gov consolidation), platform development, agency system integration, and security architecture. Annual operating cost at full deployment: approximately $5-8 billion (technical operations, security, customer support, agency coordination, ongoing development).</w:t>
      </w:r>
    </w:p>
    <w:p>
      <w:pPr>
        <w:spacing w:after="200" w:line="320"/>
        <w:jc w:val="both"/>
      </w:pPr>
      <w:r>
        <w:rPr>
          <w:rFonts w:ascii="Georgia" w:cs="Georgia" w:eastAsia="Georgia" w:hAnsi="Georgia"/>
          <w:color w:val="1A1A1A"/>
          <w:sz w:val="22"/>
          <w:szCs w:val="22"/>
        </w:rPr>
        <w:t xml:space="preserve">Implementation timeline: 5-7 years to full deployment. Year 1: governance establishment, design, federal identity infrastructure expansion. Years 2-3: core platform development, initial agency integrations (IRS, SSA, VA, immigration). Years 4-5: comprehensive agency integration, state and local government integration. Years 6-7: refinement, accessibility expansion, full feature set.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“The US gap on Civic Technology isn't technical. The technology has been deployed at scale in multiple countries with 15-20 years of operational experience. The gap is institutional and political.”</w:t>
            </w:r>
          </w:p>
        </w:tc>
      </w:tr>
    </w:tbl>
    <w:p>
      <w:r>
        <w:br w:type="page"/>
      </w:r>
    </w:p>
    <w:p>
      <w:pPr>
        <w:pStyle w:val="Heading1"/>
        <w:spacing w:after="240" w:before="480"/>
      </w:pPr>
      <w:r>
        <w:rPr>
          <w:rFonts w:ascii="Arial" w:cs="Arial" w:eastAsia="Arial" w:hAnsi="Arial"/>
          <w:b/>
          <w:bCs/>
          <w:color w:val="1F4E78"/>
          <w:sz w:val="36"/>
          <w:szCs w:val="36"/>
        </w:rPr>
        <w:t xml:space="preserve">Component 3: Return-Free Tax Filing</w:t>
      </w:r>
    </w:p>
    <w:p>
      <w:pPr>
        <w:spacing w:after="240" w:line="340"/>
        <w:jc w:val="both"/>
      </w:pPr>
      <w:r>
        <w:rPr>
          <w:rFonts w:ascii="Georgia" w:cs="Georgia" w:eastAsia="Georgia" w:hAnsi="Georgia"/>
          <w:color w:val="1A1A1A"/>
          <w:sz w:val="24"/>
          <w:szCs w:val="24"/>
        </w:rPr>
        <w:t xml:space="preserve">Approximately 36 OECD countries use some form of pre-filled or return-free tax filing. The IRS already has the data needed to calculate most Americans' taxes. The technical barrier to return-free filing in the United States is zero. The political barrier has been the tax preparation industry, which has spent approximately $40 million on lobbying over the past decade to prevent it. Return-free filing is one of the highest-value, lowest-cost components of the platform's modernization commitment.</w:t>
      </w:r>
    </w:p>
    <w:p>
      <w:pPr>
        <w:pStyle w:val="Heading2"/>
        <w:spacing w:after="160" w:before="360"/>
      </w:pPr>
      <w:r>
        <w:rPr>
          <w:rFonts w:ascii="Arial" w:cs="Arial" w:eastAsia="Arial" w:hAnsi="Arial"/>
          <w:b/>
          <w:bCs/>
          <w:color w:val="1F4E78"/>
          <w:sz w:val="28"/>
          <w:szCs w:val="28"/>
        </w:rPr>
        <w:t xml:space="preserve">How Return-Free Filing Works</w:t>
      </w:r>
    </w:p>
    <w:p>
      <w:pPr>
        <w:spacing w:after="200" w:line="320"/>
        <w:jc w:val="both"/>
      </w:pPr>
      <w:r>
        <w:rPr>
          <w:rFonts w:ascii="Georgia" w:cs="Georgia" w:eastAsia="Georgia" w:hAnsi="Georgia"/>
          <w:color w:val="1A1A1A"/>
          <w:sz w:val="22"/>
          <w:szCs w:val="22"/>
        </w:rPr>
        <w:t xml:space="preserve">The mechanism is straightforward. The IRS receives data on most Americans' tax-relevant transactions throughout the year: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Data the IRS already receives</w:t>
            </w:r>
          </w:p>
          <w:p>
            <w:pPr>
              <w:spacing w:after="100" w:line="280"/>
            </w:pPr>
            <w:r>
              <w:rPr>
                <w:rFonts w:ascii="Georgia" w:cs="Georgia" w:eastAsia="Georgia" w:hAnsi="Georgia"/>
                <w:color w:val="1A1A1A"/>
                <w:sz w:val="21"/>
                <w:szCs w:val="21"/>
              </w:rPr>
              <w:t xml:space="preserve">•  W-2 wage statements from employers</w:t>
            </w:r>
          </w:p>
          <w:p>
            <w:pPr>
              <w:spacing w:after="100" w:line="280"/>
            </w:pPr>
            <w:r>
              <w:rPr>
                <w:rFonts w:ascii="Georgia" w:cs="Georgia" w:eastAsia="Georgia" w:hAnsi="Georgia"/>
                <w:color w:val="1A1A1A"/>
                <w:sz w:val="21"/>
                <w:szCs w:val="21"/>
              </w:rPr>
              <w:t xml:space="preserve">•  1099-INT (interest income from banks)</w:t>
            </w:r>
          </w:p>
          <w:p>
            <w:pPr>
              <w:spacing w:after="100" w:line="280"/>
            </w:pPr>
            <w:r>
              <w:rPr>
                <w:rFonts w:ascii="Georgia" w:cs="Georgia" w:eastAsia="Georgia" w:hAnsi="Georgia"/>
                <w:color w:val="1A1A1A"/>
                <w:sz w:val="21"/>
                <w:szCs w:val="21"/>
              </w:rPr>
              <w:t xml:space="preserve">•  1099-DIV (dividend income from brokers)</w:t>
            </w:r>
          </w:p>
          <w:p>
            <w:pPr>
              <w:spacing w:after="100" w:line="280"/>
            </w:pPr>
            <w:r>
              <w:rPr>
                <w:rFonts w:ascii="Georgia" w:cs="Georgia" w:eastAsia="Georgia" w:hAnsi="Georgia"/>
                <w:color w:val="1A1A1A"/>
                <w:sz w:val="21"/>
                <w:szCs w:val="21"/>
              </w:rPr>
              <w:t xml:space="preserve">•  1099-R (retirement account distributions)</w:t>
            </w:r>
          </w:p>
          <w:p>
            <w:pPr>
              <w:spacing w:after="100" w:line="280"/>
            </w:pPr>
            <w:r>
              <w:rPr>
                <w:rFonts w:ascii="Georgia" w:cs="Georgia" w:eastAsia="Georgia" w:hAnsi="Georgia"/>
                <w:color w:val="1A1A1A"/>
                <w:sz w:val="21"/>
                <w:szCs w:val="21"/>
              </w:rPr>
              <w:t xml:space="preserve">•  1099-MISC and 1099-NEC (independent contractor income)</w:t>
            </w:r>
          </w:p>
          <w:p>
            <w:pPr>
              <w:spacing w:after="100" w:line="280"/>
            </w:pPr>
            <w:r>
              <w:rPr>
                <w:rFonts w:ascii="Georgia" w:cs="Georgia" w:eastAsia="Georgia" w:hAnsi="Georgia"/>
                <w:color w:val="1A1A1A"/>
                <w:sz w:val="21"/>
                <w:szCs w:val="21"/>
              </w:rPr>
              <w:t xml:space="preserve">•  1098 (mortgage interest paid)</w:t>
            </w:r>
          </w:p>
          <w:p>
            <w:pPr>
              <w:spacing w:after="100" w:line="280"/>
            </w:pPr>
            <w:r>
              <w:rPr>
                <w:rFonts w:ascii="Georgia" w:cs="Georgia" w:eastAsia="Georgia" w:hAnsi="Georgia"/>
                <w:color w:val="1A1A1A"/>
                <w:sz w:val="21"/>
                <w:szCs w:val="21"/>
              </w:rPr>
              <w:t xml:space="preserve">•  1098-T (tuition payments)</w:t>
            </w:r>
          </w:p>
          <w:p>
            <w:pPr>
              <w:spacing w:after="100" w:line="280"/>
            </w:pPr>
            <w:r>
              <w:rPr>
                <w:rFonts w:ascii="Georgia" w:cs="Georgia" w:eastAsia="Georgia" w:hAnsi="Georgia"/>
                <w:color w:val="1A1A1A"/>
                <w:sz w:val="21"/>
                <w:szCs w:val="21"/>
              </w:rPr>
              <w:t xml:space="preserve">•  Charitable contribution receipts (where reported by recipients above threshold)</w:t>
            </w:r>
          </w:p>
          <w:p>
            <w:pPr>
              <w:spacing w:after="100" w:line="280"/>
            </w:pPr>
            <w:r>
              <w:rPr>
                <w:rFonts w:ascii="Georgia" w:cs="Georgia" w:eastAsia="Georgia" w:hAnsi="Georgia"/>
                <w:color w:val="1A1A1A"/>
                <w:sz w:val="21"/>
                <w:szCs w:val="21"/>
              </w:rPr>
              <w:t xml:space="preserve">•  State tax payments (where reported by state agencies)</w:t>
            </w:r>
          </w:p>
          <w:p>
            <w:pPr>
              <w:spacing w:after="100" w:line="280"/>
            </w:pPr>
            <w:r>
              <w:rPr>
                <w:rFonts w:ascii="Georgia" w:cs="Georgia" w:eastAsia="Georgia" w:hAnsi="Georgia"/>
                <w:color w:val="1A1A1A"/>
                <w:sz w:val="21"/>
                <w:szCs w:val="21"/>
              </w:rPr>
              <w:t xml:space="preserve">•  Estate distributions, K-1 partnership income, and similar items</w:t>
            </w:r>
          </w:p>
        </w:tc>
      </w:tr>
    </w:tbl>
    <w:p>
      <w:pPr>
        <w:spacing w:after="200" w:line="320"/>
        <w:jc w:val="both"/>
      </w:pPr>
      <w:r>
        <w:rPr>
          <w:rFonts w:ascii="Georgia" w:cs="Georgia" w:eastAsia="Georgia" w:hAnsi="Georgia"/>
          <w:color w:val="1A1A1A"/>
          <w:sz w:val="22"/>
          <w:szCs w:val="22"/>
        </w:rPr>
        <w:t xml:space="preserve">For most US taxpayers — those with W-2 wage income, standard deduction, and minimal itemized deductions — the IRS already has everything it needs to calculate the tax owed. Approximately 70% of US taxpayers fall into this category. Under return-free filing, the IRS pre-calculates the return based on data it already has, presents the calculation to the taxpayer through the civic platform (or by mail for taxpayers who prefer paper), and asks the taxpayer to review and accept (or contest specific items).</w:t>
      </w:r>
    </w:p>
    <w:p>
      <w:pPr>
        <w:pStyle w:val="Heading2"/>
        <w:spacing w:after="160" w:before="360"/>
      </w:pPr>
      <w:r>
        <w:rPr>
          <w:rFonts w:ascii="Arial" w:cs="Arial" w:eastAsia="Arial" w:hAnsi="Arial"/>
          <w:b/>
          <w:bCs/>
          <w:color w:val="1F4E78"/>
          <w:sz w:val="28"/>
          <w:szCs w:val="28"/>
        </w:rPr>
        <w:t xml:space="preserve">International Models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Country</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System</w:t>
            </w:r>
          </w:p>
        </w:tc>
        <w:tc>
          <w:tcPr>
            <w:tcW w:type="dxa" w:w="19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Coverage</w:t>
            </w:r>
          </w:p>
        </w:tc>
        <w:tc>
          <w:tcPr>
            <w:tcW w:type="dxa" w:w="3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Citizen Experience</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Sweden</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Skatteverket pre-fills</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~95% of taxpayers</w:t>
            </w:r>
          </w:p>
        </w:tc>
        <w:tc>
          <w:tcPr>
            <w:tcW w:type="dxa" w:w="3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Pre-filled return delivered, citizen confirms via SMS/web/mail</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Norway</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Skatteetaten pre-fills</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~90% of taxpayers</w:t>
            </w:r>
          </w:p>
        </w:tc>
        <w:tc>
          <w:tcPr>
            <w:tcW w:type="dxa" w:w="3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Auto-accepted unless contested by deadline</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Estonia</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Tax Board pre-fills</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~98% of taxpayers</w:t>
            </w:r>
          </w:p>
        </w:tc>
        <w:tc>
          <w:tcPr>
            <w:tcW w:type="dxa" w:w="3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Citizens log in to e-portal, review, accept (typical time: 5 minutes)</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Denmark</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SKAT pre-fills</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~92% of taxpayers</w:t>
            </w:r>
          </w:p>
        </w:tc>
        <w:tc>
          <w:tcPr>
            <w:tcW w:type="dxa" w:w="3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Pre-filled and pre-calculated; corrections optional</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Finland</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Vero pre-fills</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~93% of taxpayers</w:t>
            </w:r>
          </w:p>
        </w:tc>
        <w:tc>
          <w:tcPr>
            <w:tcW w:type="dxa" w:w="3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Mobile-friendly review and acceptance</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Japan</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Limited pre-fill</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~75% of taxpayers</w:t>
            </w:r>
          </w:p>
        </w:tc>
        <w:tc>
          <w:tcPr>
            <w:tcW w:type="dxa" w:w="3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Most W-2 equivalent workers don't file at all (employer handles)</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United Kingdom</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PAYE system</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 of workers</w:t>
            </w:r>
          </w:p>
        </w:tc>
        <w:tc>
          <w:tcPr>
            <w:tcW w:type="dxa" w:w="3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Most workers don't file at all; tax handled through payroll</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Netherlands</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Belastingdienst pre-fills</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~90% of taxpayers</w:t>
            </w:r>
          </w:p>
        </w:tc>
        <w:tc>
          <w:tcPr>
            <w:tcW w:type="dxa" w:w="3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Pre-filled with one-click acceptance</w:t>
            </w:r>
          </w:p>
        </w:tc>
      </w:tr>
    </w:tbl>
    <w:p>
      <w:pPr>
        <w:spacing w:after="240"/>
      </w:pPr>
      <w:r>
        <w:t xml:space="preserve"/>
      </w:r>
    </w:p>
    <w:p>
      <w:pPr>
        <w:spacing w:after="200" w:line="320"/>
        <w:jc w:val="both"/>
      </w:pPr>
      <w:r>
        <w:rPr>
          <w:rFonts w:ascii="Georgia" w:cs="Georgia" w:eastAsia="Georgia" w:hAnsi="Georgia"/>
          <w:color w:val="1A1A1A"/>
          <w:sz w:val="22"/>
          <w:szCs w:val="22"/>
        </w:rPr>
        <w:t xml:space="preserve">The pattern across countries is consistent: pre-filled returns work for 75-98% of taxpayers, depending on how comprehensive the pre-fill is and how generous the standard treatment. Citizens who have non-standard situations (self-employment with deductions, complex investments, multiple state residence, foreign income) still file traditional returns. The pre-fill handles the common case; traditional filing handles the edge cases. Both are available; citizens choose based on their situation.</w:t>
      </w:r>
    </w:p>
    <w:p>
      <w:pPr>
        <w:pStyle w:val="Heading2"/>
        <w:spacing w:after="160" w:before="360"/>
      </w:pPr>
      <w:r>
        <w:rPr>
          <w:rFonts w:ascii="Arial" w:cs="Arial" w:eastAsia="Arial" w:hAnsi="Arial"/>
          <w:b/>
          <w:bCs/>
          <w:color w:val="1F4E78"/>
          <w:sz w:val="28"/>
          <w:szCs w:val="28"/>
        </w:rPr>
        <w:t xml:space="preserve">Citizen Savings</w:t>
      </w:r>
    </w:p>
    <w:p>
      <w:pPr>
        <w:spacing w:after="200" w:line="320"/>
        <w:jc w:val="both"/>
      </w:pPr>
      <w:r>
        <w:rPr>
          <w:rFonts w:ascii="Georgia" w:cs="Georgia" w:eastAsia="Georgia" w:hAnsi="Georgia"/>
          <w:color w:val="1A1A1A"/>
          <w:sz w:val="22"/>
          <w:szCs w:val="22"/>
        </w:rPr>
        <w:t xml:space="preserve">Americans collectively spend an enormous amount of money and time on tax compliance:</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Cost Category</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US Total</w:t>
            </w:r>
          </w:p>
        </w:tc>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 Filing Household</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Tax preparation services (paid)</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~$11 billion  (See Sources Baseline.)</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~$220 (avg paying household)</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Tax software (TurboTax, H&amp;R Block, etc.)</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~$5 billion  (See Sources Baseline.)</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~$60-100</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Self-prepared time (avg 8 hours × 154M filers × $15/hr)</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~$18 billion  (See Sources Baseline.)</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 in time value</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Professional tax preparation time (10-25 hours for businesses)</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~$15 billion  (See Sources Baseline.)</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Higher for itemizers/self-employed</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compliance burden</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~$49 billion  (See Sources Baseline.)</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~$320 average per filing household</w:t>
            </w:r>
          </w:p>
        </w:tc>
      </w:tr>
    </w:tbl>
    <w:p>
      <w:pPr>
        <w:spacing w:after="240"/>
      </w:pPr>
      <w:r>
        <w:t xml:space="preserve"/>
      </w:r>
    </w:p>
    <w:p>
      <w:pPr>
        <w:spacing w:after="200" w:line="320"/>
        <w:jc w:val="both"/>
      </w:pPr>
      <w:r>
        <w:rPr>
          <w:rFonts w:ascii="Georgia" w:cs="Georgia" w:eastAsia="Georgia" w:hAnsi="Georgia"/>
          <w:color w:val="1A1A1A"/>
          <w:sz w:val="22"/>
          <w:szCs w:val="22"/>
        </w:rPr>
        <w:t>Return-free filing eliminates most of this. The 70% of taxpayers eligible for pre-filled returns save the entire compliance burden. The 30% with complex situations continue to use tax preparation services or software. Estimated total annual savings to American households: approximately $30 billion (the portion eliminated for the 70%). This is genuine economic resource savings — American time and money currently consumed by bureaucratic friction that international experience demonstrates is unnecessary.  (Source baseline: see Sources_And_Derivation_Convention.docx.)</w:t>
      </w:r>
    </w:p>
    <w:p>
      <w:pPr>
        <w:pStyle w:val="Heading2"/>
        <w:spacing w:after="160" w:before="360"/>
      </w:pPr>
      <w:r>
        <w:rPr>
          <w:rFonts w:ascii="Arial" w:cs="Arial" w:eastAsia="Arial" w:hAnsi="Arial"/>
          <w:b/>
          <w:bCs/>
          <w:color w:val="1F4E78"/>
          <w:sz w:val="28"/>
          <w:szCs w:val="28"/>
        </w:rPr>
        <w:t xml:space="preserve">Federal Cost</w:t>
      </w:r>
    </w:p>
    <w:p>
      <w:pPr>
        <w:spacing w:after="200" w:line="320"/>
        <w:jc w:val="both"/>
      </w:pPr>
      <w:r>
        <w:rPr>
          <w:rFonts w:ascii="Georgia" w:cs="Georgia" w:eastAsia="Georgia" w:hAnsi="Georgia"/>
          <w:color w:val="1A1A1A"/>
          <w:sz w:val="22"/>
          <w:szCs w:val="22"/>
        </w:rPr>
        <w:t xml:space="preserve">The IRS already collects the data, processes returns, and operates the technical infrastructure. Adding return-free filing requires:</w:t>
      </w:r>
    </w:p>
    <w:p>
      <w:pPr>
        <w:spacing w:after="200" w:line="320"/>
        <w:jc w:val="both"/>
      </w:pPr>
      <w:r>
        <w:rPr>
          <w:rFonts w:ascii="Georgia" w:cs="Georgia" w:eastAsia="Georgia" w:hAnsi="Georgia"/>
          <w:color w:val="1A1A1A"/>
          <w:sz w:val="22"/>
          <w:szCs w:val="22"/>
        </w:rPr>
        <w:t xml:space="preserve">Software development to generate pre-filled returns and present them through the civic platform: approximately $300-500 million one-time development cost. Annual operations to deliver pre-filled returns to taxpayers, handle contested items, and integrate with the civic platform: approximately $1-2 billion per year. Customer support expansion (helping citizens understand their pre-filled returns): approximately $200-400 million per year. Total annual federal cost at full deployment: approximately $1.3-2.4 billion per year. Net economic impact (federal cost minus citizen savings): approximately $28 billion per year in citizen savings net of federal cost.</w:t>
      </w:r>
    </w:p>
    <w:p>
      <w:pPr>
        <w:pStyle w:val="Heading2"/>
        <w:spacing w:after="160" w:before="360"/>
      </w:pPr>
      <w:r>
        <w:rPr>
          <w:rFonts w:ascii="Arial" w:cs="Arial" w:eastAsia="Arial" w:hAnsi="Arial"/>
          <w:b/>
          <w:bCs/>
          <w:color w:val="1F4E78"/>
          <w:sz w:val="28"/>
          <w:szCs w:val="28"/>
        </w:rPr>
        <w:t xml:space="preserve">Why This Doesn’t Already Exist</w:t>
      </w:r>
    </w:p>
    <w:p>
      <w:pPr>
        <w:spacing w:after="200" w:line="320"/>
        <w:jc w:val="both"/>
      </w:pPr>
      <w:r>
        <w:rPr>
          <w:rFonts w:ascii="Georgia" w:cs="Georgia" w:eastAsia="Georgia" w:hAnsi="Georgia"/>
          <w:color w:val="1A1A1A"/>
          <w:sz w:val="22"/>
          <w:szCs w:val="22"/>
        </w:rPr>
        <w:t xml:space="preserve">Return-free filing is technically feasible, internationally proven, and produces enormous citizen savings net of modest federal costs. It doesn't exist in the United States because of active opposition from the tax preparation industry, primarily Intuit (TurboTax) and H&amp;R Block, which together represent approximately 60% of US tax prep market revenue.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The political history</w:t>
            </w:r>
          </w:p>
          <w:p>
            <w:pPr>
              <w:spacing w:after="100" w:line="280"/>
            </w:pPr>
            <w:r>
              <w:rPr>
                <w:rFonts w:ascii="Georgia" w:cs="Georgia" w:eastAsia="Georgia" w:hAnsi="Georgia"/>
                <w:color w:val="1A1A1A"/>
                <w:sz w:val="21"/>
                <w:szCs w:val="21"/>
              </w:rPr>
              <w:t xml:space="preserve">•  California's ReadyReturn pilot (2005-2014) demonstrated return-free filing worked at state level: 99% accuracy, 96% citizen satisfaction. Discontinued after Intuit lobbied to defund it.</w:t>
            </w:r>
          </w:p>
          <w:p>
            <w:pPr>
              <w:spacing w:after="100" w:line="280"/>
            </w:pPr>
            <w:r>
              <w:rPr>
                <w:rFonts w:ascii="Georgia" w:cs="Georgia" w:eastAsia="Georgia" w:hAnsi="Georgia"/>
                <w:color w:val="1A1A1A"/>
                <w:sz w:val="21"/>
                <w:szCs w:val="21"/>
              </w:rPr>
              <w:t xml:space="preserve">•  Federal return-free filing has been proposed by every administration since Reagan's second term and blocked by industry lobbying every time.</w:t>
            </w:r>
          </w:p>
          <w:p>
            <w:pPr>
              <w:spacing w:after="100" w:line="280"/>
            </w:pPr>
            <w:r>
              <w:rPr>
                <w:rFonts w:ascii="Georgia" w:cs="Georgia" w:eastAsia="Georgia" w:hAnsi="Georgia"/>
                <w:color w:val="1A1A1A"/>
                <w:sz w:val="21"/>
                <w:szCs w:val="21"/>
              </w:rPr>
              <w:t xml:space="preserve">•  Intuit and H&amp;R Block spent approximately $40 million on lobbying from 2014-2024 specifically to prevent return-free filing.</w:t>
            </w:r>
          </w:p>
          <w:p>
            <w:pPr>
              <w:spacing w:after="100" w:line="280"/>
            </w:pPr>
            <w:r>
              <w:rPr>
                <w:rFonts w:ascii="Georgia" w:cs="Georgia" w:eastAsia="Georgia" w:hAnsi="Georgia"/>
                <w:color w:val="1A1A1A"/>
                <w:sz w:val="21"/>
                <w:szCs w:val="21"/>
              </w:rPr>
              <w:t xml:space="preserve">•  The IRS Free File program (existed since 2003, ended in 2024) was a compromise: tax software companies provided free filing for low-income taxpayers in exchange for the IRS not building its own system. Industry consistently underdelivered on the free filing portion while marketing paid services to the same eligible population.</w:t>
            </w:r>
          </w:p>
          <w:p>
            <w:pPr>
              <w:spacing w:after="100" w:line="280"/>
            </w:pPr>
            <w:r>
              <w:rPr>
                <w:rFonts w:ascii="Georgia" w:cs="Georgia" w:eastAsia="Georgia" w:hAnsi="Georgia"/>
                <w:color w:val="1A1A1A"/>
                <w:sz w:val="21"/>
                <w:szCs w:val="21"/>
              </w:rPr>
              <w:t xml:space="preserve">•  The IRS Direct File pilot (2024-2026) demonstrated direct government filing works — average completion time 30 minutes, high citizen satisfaction — and immediately faced industry lobbying for termination.</w:t>
            </w:r>
          </w:p>
          <w:p>
            <w:pPr>
              <w:spacing w:after="100" w:line="280"/>
            </w:pPr>
            <w:r>
              <w:rPr>
                <w:rFonts w:ascii="Georgia" w:cs="Georgia" w:eastAsia="Georgia" w:hAnsi="Georgia"/>
                <w:color w:val="1A1A1A"/>
                <w:sz w:val="21"/>
                <w:szCs w:val="21"/>
              </w:rPr>
              <w:t xml:space="preserve">•  International experience shows industry impact is real but limited: countries that adopted return-free filing didn't lose their tax preparation industries, they just shifted them toward complex returns and business taxes where genuine value-add exists.</w:t>
            </w:r>
          </w:p>
        </w:tc>
      </w:tr>
    </w:tbl>
    <w:p>
      <w:pPr>
        <w:spacing w:after="200" w:line="320"/>
        <w:jc w:val="both"/>
      </w:pPr>
      <w:r>
        <w:rPr>
          <w:rFonts w:ascii="Georgia" w:cs="Georgia" w:eastAsia="Georgia" w:hAnsi="Georgia"/>
          <w:color w:val="1A1A1A"/>
          <w:sz w:val="22"/>
          <w:szCs w:val="22"/>
        </w:rPr>
        <w:t>Return-free filing isn't blocked because it doesn't work or because it costs too much. It's blocked because a $30 billion annual industry has political incentive to keep American tax compliance expensive and time-consuming, and the citizens who would benefit don't have lobbying capacity that competes. The platform's commitment to return-free filing is, among other things, a commitment to break this rent-seeking pattern.  (Source baseline: see Sources_And_Derivation_Convention.docx.)</w:t>
      </w:r>
    </w:p>
    <w:p>
      <w:pPr>
        <w:pStyle w:val="Heading2"/>
        <w:spacing w:after="160" w:before="360"/>
      </w:pPr>
      <w:r>
        <w:rPr>
          <w:rFonts w:ascii="Arial" w:cs="Arial" w:eastAsia="Arial" w:hAnsi="Arial"/>
          <w:b/>
          <w:bCs/>
          <w:color w:val="1F4E78"/>
          <w:sz w:val="28"/>
          <w:szCs w:val="28"/>
        </w:rPr>
        <w:t xml:space="preserve">Industry Transition</w:t>
      </w:r>
    </w:p>
    <w:p>
      <w:pPr>
        <w:spacing w:after="200" w:line="320"/>
        <w:jc w:val="both"/>
      </w:pPr>
      <w:r>
        <w:rPr>
          <w:rFonts w:ascii="Georgia" w:cs="Georgia" w:eastAsia="Georgia" w:hAnsi="Georgia"/>
          <w:color w:val="1A1A1A"/>
          <w:sz w:val="22"/>
          <w:szCs w:val="22"/>
        </w:rPr>
        <w:t>Return-free filing eliminates approximately $30 billion per year of tax preparation industry revenue and approximately 100,000 industry jobs. This is real disruption that needs explicit treatment in the substantiation work.  (Source baseline: see Sources_And_Derivation_Convention.docx.)</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Industry transition commitments</w:t>
            </w:r>
          </w:p>
          <w:p>
            <w:pPr>
              <w:spacing w:after="100" w:line="280"/>
            </w:pPr>
            <w:r>
              <w:rPr>
                <w:rFonts w:ascii="Georgia" w:cs="Georgia" w:eastAsia="Georgia" w:hAnsi="Georgia"/>
                <w:color w:val="1A1A1A"/>
                <w:sz w:val="21"/>
                <w:szCs w:val="21"/>
              </w:rPr>
              <w:t xml:space="preserve">•  Phased rollout over 5-7 years to allow industry adjustment.</w:t>
            </w:r>
          </w:p>
          <w:p>
            <w:pPr>
              <w:spacing w:after="100" w:line="280"/>
            </w:pPr>
            <w:r>
              <w:rPr>
                <w:rFonts w:ascii="Georgia" w:cs="Georgia" w:eastAsia="Georgia" w:hAnsi="Georgia"/>
                <w:color w:val="1A1A1A"/>
                <w:sz w:val="21"/>
                <w:szCs w:val="21"/>
              </w:rPr>
              <w:t xml:space="preserve">•  Workforce retraining support through the platform's broader workforce development pillar (similar in scale to coal worker retraining for fiber optics work).</w:t>
            </w:r>
          </w:p>
          <w:p>
            <w:pPr>
              <w:spacing w:after="100" w:line="280"/>
            </w:pPr>
            <w:r>
              <w:rPr>
                <w:rFonts w:ascii="Georgia" w:cs="Georgia" w:eastAsia="Georgia" w:hAnsi="Georgia"/>
                <w:color w:val="1A1A1A"/>
                <w:sz w:val="21"/>
                <w:szCs w:val="21"/>
              </w:rPr>
              <w:t xml:space="preserve">•  Retained tax preparation services for complex returns: businesses, self-employed with significant deductions, complex investments, multi-state filers, expatriate filers. International experience suggests approximately $15-20 billion in genuine value-add tax services remains after return-free filing handles common cases.</w:t>
            </w:r>
          </w:p>
          <w:p>
            <w:pPr>
              <w:spacing w:after="100" w:line="280"/>
            </w:pPr>
            <w:r>
              <w:rPr>
                <w:rFonts w:ascii="Georgia" w:cs="Georgia" w:eastAsia="Georgia" w:hAnsi="Georgia"/>
                <w:color w:val="1A1A1A"/>
                <w:sz w:val="21"/>
                <w:szCs w:val="21"/>
              </w:rPr>
              <w:t xml:space="preserve">•  Government certified tax preparer program: providing federal certification for tax preparers handling complex returns, with quality standards and consumer protections.</w:t>
            </w:r>
          </w:p>
          <w:p>
            <w:pPr>
              <w:spacing w:after="100" w:line="280"/>
            </w:pPr>
            <w:r>
              <w:rPr>
                <w:rFonts w:ascii="Georgia" w:cs="Georgia" w:eastAsia="Georgia" w:hAnsi="Georgia"/>
                <w:color w:val="1A1A1A"/>
                <w:sz w:val="21"/>
                <w:szCs w:val="21"/>
              </w:rPr>
              <w:t xml:space="preserve">•  Acknowledgment that this is a deliberate policy choice to redirect economic resources from compliance overhead to other uses (citizen time, household spending power, productive economic activity).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“Return-free filing isn't blocked because it doesn't work. It's blocked because a $30B annual industry has political incentive to keep tax compliance expensive, and citizens who would benefit don't have lobbying capacity.”</w:t>
            </w:r>
          </w:p>
        </w:tc>
      </w:tr>
    </w:tbl>
    <w:p>
      <w:r>
        <w:br w:type="page"/>
      </w:r>
    </w:p>
    <w:p>
      <w:pPr>
        <w:pStyle w:val="Heading1"/>
        <w:spacing w:after="240" w:before="480"/>
      </w:pPr>
      <w:r>
        <w:rPr>
          <w:rFonts w:ascii="Arial" w:cs="Arial" w:eastAsia="Arial" w:hAnsi="Arial"/>
          <w:b/>
          <w:bCs/>
          <w:color w:val="1F4E78"/>
          <w:sz w:val="36"/>
          <w:szCs w:val="36"/>
        </w:rPr>
        <w:t xml:space="preserve">Combined Cost Analysis</w:t>
      </w:r>
    </w:p>
    <w:p>
      <w:pPr>
        <w:spacing w:after="240" w:line="340"/>
        <w:jc w:val="both"/>
      </w:pPr>
      <w:r>
        <w:rPr>
          <w:rFonts w:ascii="Georgia" w:cs="Georgia" w:eastAsia="Georgia" w:hAnsi="Georgia"/>
          <w:color w:val="1A1A1A"/>
          <w:sz w:val="24"/>
          <w:szCs w:val="24"/>
        </w:rPr>
        <w:t xml:space="preserve">The integrated argument adds the civic platform and return-free filing to the existing v2.3 Civic Infrastructure framing. This section articulates the cost expansion, where it sits within the platform's funding architecture, and the net economic impact.</w:t>
      </w:r>
    </w:p>
    <w:p>
      <w:pPr>
        <w:pStyle w:val="Heading2"/>
        <w:spacing w:after="160" w:before="360"/>
      </w:pPr>
      <w:r>
        <w:rPr>
          <w:rFonts w:ascii="Arial" w:cs="Arial" w:eastAsia="Arial" w:hAnsi="Arial"/>
          <w:b/>
          <w:bCs/>
          <w:color w:val="1F4E78"/>
          <w:sz w:val="28"/>
          <w:szCs w:val="28"/>
        </w:rPr>
        <w:t xml:space="preserve">Federal Cost Expansion</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Component</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v2.3 Estimate</w:t>
            </w:r>
          </w:p>
        </w:tc>
        <w:tc>
          <w:tcPr>
            <w:tcW w:type="dxa" w:w="2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With Integrated Argument</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Change</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Universal Broadband (Path A chosen)</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$15-20B/yr</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$50B/yr</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+$30-35B</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Civic Technology (baseline modernization)</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$10-15B/yr</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$10-15B/yr</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(unchanged)</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Civic Communication Platform (new)</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$5-8B/yr</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+$5-8B</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Return-Free Filing (new)</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$1-2B/yr</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+$1-2B</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Public Spaces (libraries, expanded)</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$20-30B/yr</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$22-32B/yr</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+$2B</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Other Civic Infrastructure components</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$170-260B/yr</w:t>
            </w:r>
          </w:p>
        </w:tc>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(unchanged)</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(unchanged)</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Civic Infrastructure pillar</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$215-325B/yr</w:t>
            </w:r>
          </w:p>
        </w:tc>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$253-372B/yr</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+$38-47B</w:t>
            </w:r>
          </w:p>
        </w:tc>
      </w:tr>
    </w:tbl>
    <w:p>
      <w:pPr>
        <w:spacing w:after="240"/>
      </w:pPr>
      <w:r>
        <w:t xml:space="preserve"/>
      </w:r>
    </w:p>
    <w:p>
      <w:pPr>
        <w:spacing w:after="200" w:line="320"/>
        <w:jc w:val="both"/>
      </w:pPr>
      <w:r>
        <w:rPr>
          <w:rFonts w:ascii="Georgia" w:cs="Georgia" w:eastAsia="Georgia" w:hAnsi="Georgia"/>
          <w:color w:val="1A1A1A"/>
          <w:sz w:val="22"/>
          <w:szCs w:val="22"/>
        </w:rPr>
        <w:t>Total Civic Infrastructure pillar shifts from approximately $270 billion per year mid estimate (v2.3 framing) to approximately $310 billion per year mid estimate under the integrated argument. This is approximately 1.0-1.2% of GDP, slightly above the v2.3 framing's 0.7-1.1% range but still within the platform's overall envelope. The Sovereign Fund's eventual disbursement scale absorbs this expansion.  (Source baseline: see Sources_And_Derivation_Convention.docx.)</w:t>
      </w:r>
    </w:p>
    <w:p>
      <w:pPr>
        <w:pStyle w:val="Heading2"/>
        <w:spacing w:after="160" w:before="360"/>
      </w:pPr>
      <w:r>
        <w:rPr>
          <w:rFonts w:ascii="Arial" w:cs="Arial" w:eastAsia="Arial" w:hAnsi="Arial"/>
          <w:b/>
          <w:bCs/>
          <w:color w:val="1F4E78"/>
          <w:sz w:val="28"/>
          <w:szCs w:val="28"/>
        </w:rPr>
        <w:t xml:space="preserve">Citizen-Side Impact</w:t>
      </w:r>
    </w:p>
    <w:p>
      <w:pPr>
        <w:spacing w:after="200" w:line="320"/>
        <w:jc w:val="both"/>
      </w:pPr>
      <w:r>
        <w:rPr>
          <w:rFonts w:ascii="Georgia" w:cs="Georgia" w:eastAsia="Georgia" w:hAnsi="Georgia"/>
          <w:color w:val="1A1A1A"/>
          <w:sz w:val="22"/>
          <w:szCs w:val="22"/>
        </w:rPr>
        <w:t xml:space="preserve">The integrated argument's citizen-side impact is substantially positive. Citizens save substantially more than the federal cost expansion:</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Citizen Savings</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Amount</w:t>
            </w:r>
          </w:p>
        </w:tc>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Notes</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Free broadband (vs current paid retail)</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~$92 billion  (See Sources Baseline.)</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132M households × ~$700/yr saved</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Return-free filing (tax prep services + time)</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~$30 billion  (See Sources Baseline.)</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70% of taxpayers × ~$320/household saved</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Civic platform efficiency (reduced gov interaction time)</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~$15 billion  (See Sources Baseline.)</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Estimated based on international comparisons</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annual citizen savings</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~$137 billion  (See Sources Baseline.)</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Net of $19B in voluntary premium tier spending</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Federal cost expansion (combined)</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~$40 billion  (See Sources Baseline.)</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Mid estimate of integrated argument additions</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Net economic resource impact</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+$97 billion  (See Sources Baseline.)</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Citizen savings exceed federal cost by ~2.4x</w:t>
            </w:r>
          </w:p>
        </w:tc>
      </w:tr>
    </w:tbl>
    <w:p>
      <w:pPr>
        <w:spacing w:after="240"/>
      </w:pPr>
      <w:r>
        <w:t xml:space="preserve"/>
      </w:r>
    </w:p>
    <w:p>
      <w:pPr>
        <w:spacing w:after="200" w:line="320"/>
        <w:jc w:val="both"/>
      </w:pPr>
      <w:r>
        <w:rPr>
          <w:rFonts w:ascii="Georgia" w:cs="Georgia" w:eastAsia="Georgia" w:hAnsi="Georgia"/>
          <w:color w:val="1A1A1A"/>
          <w:sz w:val="22"/>
          <w:szCs w:val="22"/>
        </w:rPr>
        <w:t xml:space="preserve">The integrated argument produces a net positive economic impact of approximately $97 billion per year. This is genuine economic resource savings: American time and money currently consumed by retail broadband margins, tax preparation industry overhead, and government interaction friction redirected to other uses. The federal cost expansion is substantially less than the citizen-side savings.</w:t>
      </w:r>
    </w:p>
    <w:p>
      <w:pPr>
        <w:pStyle w:val="Heading2"/>
        <w:spacing w:after="160" w:before="360"/>
      </w:pPr>
      <w:r>
        <w:rPr>
          <w:rFonts w:ascii="Arial" w:cs="Arial" w:eastAsia="Arial" w:hAnsi="Arial"/>
          <w:b/>
          <w:bCs/>
          <w:color w:val="1F4E78"/>
          <w:sz w:val="28"/>
          <w:szCs w:val="28"/>
        </w:rPr>
        <w:t xml:space="preserve">Where the Funding Comes From</w:t>
      </w:r>
    </w:p>
    <w:p>
      <w:pPr>
        <w:spacing w:after="200" w:line="320"/>
        <w:jc w:val="both"/>
      </w:pPr>
      <w:r>
        <w:rPr>
          <w:rFonts w:ascii="Georgia" w:cs="Georgia" w:eastAsia="Georgia" w:hAnsi="Georgia"/>
          <w:color w:val="1A1A1A"/>
          <w:sz w:val="22"/>
          <w:szCs w:val="22"/>
        </w:rPr>
        <w:t xml:space="preserve">The integrated argument's funding follows the same Civic Infrastructure pillar architecture established in v2.3:</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Funding sources at steady state</w:t>
            </w:r>
          </w:p>
          <w:p>
            <w:pPr>
              <w:spacing w:after="100" w:line="280"/>
            </w:pPr>
            <w:r>
              <w:rPr>
                <w:rFonts w:ascii="Georgia" w:cs="Georgia" w:eastAsia="Georgia" w:hAnsi="Georgia"/>
                <w:color w:val="1A1A1A"/>
                <w:sz w:val="21"/>
                <w:szCs w:val="21"/>
              </w:rPr>
              <w:t xml:space="preserve">•  Sovereign Fund disbursements: ~55% of pillar funding ($170-200B annually for Civic Infrastructure including the integrated argument's expansion).</w:t>
            </w:r>
          </w:p>
          <w:p>
            <w:pPr>
              <w:spacing w:after="100" w:line="280"/>
            </w:pPr>
            <w:r>
              <w:rPr>
                <w:rFonts w:ascii="Georgia" w:cs="Georgia" w:eastAsia="Georgia" w:hAnsi="Georgia"/>
                <w:color w:val="1A1A1A"/>
                <w:sz w:val="21"/>
                <w:szCs w:val="21"/>
              </w:rPr>
              <w:t xml:space="preserve">•  Consolidated existing federal infrastructure spending: ~30% (Highway Trust Fund, USF, BEAD, Universal Service Fund, IRS modernization budget, Login.gov).</w:t>
            </w:r>
          </w:p>
          <w:p>
            <w:pPr>
              <w:spacing w:after="100" w:line="280"/>
            </w:pPr>
            <w:r>
              <w:rPr>
                <w:rFonts w:ascii="Georgia" w:cs="Georgia" w:eastAsia="Georgia" w:hAnsi="Georgia"/>
                <w:color w:val="1A1A1A"/>
                <w:sz w:val="21"/>
                <w:szCs w:val="21"/>
              </w:rPr>
              <w:t xml:space="preserve">•  State and local cost share: ~15% (transportation, water, libraries with federal-state-local matching).</w:t>
            </w:r>
          </w:p>
          <w:p>
            <w:pPr>
              <w:spacing w:after="100" w:line="280"/>
            </w:pPr>
            <w:r>
              <w:rPr>
                <w:rFonts w:ascii="Georgia" w:cs="Georgia" w:eastAsia="Georgia" w:hAnsi="Georgia"/>
                <w:color w:val="1A1A1A"/>
                <w:sz w:val="21"/>
                <w:szCs w:val="21"/>
              </w:rPr>
              <w:t xml:space="preserve">•  No new tax revenue required.</w:t>
            </w:r>
          </w:p>
          <w:p>
            <w:pPr>
              <w:spacing w:after="100" w:line="280"/>
            </w:pPr>
            <w:r>
              <w:rPr>
                <w:rFonts w:ascii="Georgia" w:cs="Georgia" w:eastAsia="Georgia" w:hAnsi="Georgia"/>
                <w:color w:val="1A1A1A"/>
                <w:sz w:val="21"/>
                <w:szCs w:val="21"/>
              </w:rPr>
              <w:t xml:space="preserve">•  No sustained additional federal borrowing required.</w:t>
            </w:r>
          </w:p>
          <w:p>
            <w:pPr>
              <w:spacing w:after="100" w:line="280"/>
            </w:pPr>
            <w:r>
              <w:rPr>
                <w:rFonts w:ascii="Georgia" w:cs="Georgia" w:eastAsia="Georgia" w:hAnsi="Georgia"/>
                <w:color w:val="1A1A1A"/>
                <w:sz w:val="21"/>
                <w:szCs w:val="21"/>
              </w:rPr>
              <w:t xml:space="preserve">•  The integrated argument's expansion absorbs into the existing pillar architecture without restructuring.</w:t>
            </w:r>
          </w:p>
        </w:tc>
      </w:tr>
    </w:tbl>
    <w:p>
      <w:pPr>
        <w:pStyle w:val="Heading2"/>
        <w:spacing w:after="160" w:before="360"/>
      </w:pPr>
      <w:r>
        <w:rPr>
          <w:rFonts w:ascii="Arial" w:cs="Arial" w:eastAsia="Arial" w:hAnsi="Arial"/>
          <w:b/>
          <w:bCs/>
          <w:color w:val="1F4E78"/>
          <w:sz w:val="28"/>
          <w:szCs w:val="28"/>
        </w:rPr>
        <w:t xml:space="preserve">Comparison to Other Platform Commitments</w:t>
      </w:r>
    </w:p>
    <w:p>
      <w:pPr>
        <w:spacing w:after="200" w:line="320"/>
        <w:jc w:val="both"/>
      </w:pPr>
      <w:r>
        <w:rPr>
          <w:rFonts w:ascii="Georgia" w:cs="Georgia" w:eastAsia="Georgia" w:hAnsi="Georgia"/>
          <w:color w:val="1A1A1A"/>
          <w:sz w:val="22"/>
          <w:szCs w:val="22"/>
        </w:rPr>
        <w:t xml:space="preserve">Where the integrated argument fits in the platform's overall scale:</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Platform Commitment</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Annual Cost</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 Capita</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Healthcare (universal coverage)</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$3.2 trillion  (See Sources Baseline.)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$9,700</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K-12 Education</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$800 billion  (See Sources Baseline.)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$2,400</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Sovereign Education Fund</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~$300 billion  (See Sources Baseline.)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$900</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Civic Infrastructure (integrated argument total)</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~$310 billion  (See Sources Baseline.)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$939</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Universal Childcare</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~$140 billion  (See Sources Baseline.)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$420</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Universal Mental Health Access</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~$113 billion  (See Sources Baseline.)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$340</w:t>
            </w:r>
          </w:p>
        </w:tc>
      </w:tr>
      <w:tr>
        <w:tc>
          <w:tcPr>
            <w:tcW w:type="dxa" w:w="3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Civic Infrastructure (integrated argument expansion only)</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~$40 billion  (See Sources Baseline.)</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$121</w:t>
            </w:r>
          </w:p>
        </w:tc>
      </w:tr>
      <w:tr>
        <w:tc>
          <w:tcPr>
            <w:tcW w:type="dxa" w:w="3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Free Broadband + Civic Platform + Return-Free Filing combined</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~$60 billion  (See Sources Baseline.)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$182</w:t>
            </w:r>
          </w:p>
        </w:tc>
      </w:tr>
    </w:tbl>
    <w:p>
      <w:pPr>
        <w:spacing w:after="240"/>
      </w:pPr>
      <w:r>
        <w:t xml:space="preserve"/>
      </w:r>
    </w:p>
    <w:p>
      <w:pPr>
        <w:spacing w:after="200" w:line="320"/>
        <w:jc w:val="both"/>
      </w:pPr>
      <w:r>
        <w:rPr>
          <w:rFonts w:ascii="Georgia" w:cs="Georgia" w:eastAsia="Georgia" w:hAnsi="Georgia"/>
          <w:color w:val="1A1A1A"/>
          <w:sz w:val="22"/>
          <w:szCs w:val="22"/>
        </w:rPr>
        <w:t>The combined integrated argument commitments cost approximately $60 billion per year at full deployment — less than the universal childcare commitment, less than the Universal Mental Health access commitment, less than 2% of the healthcare commitment. The expansion is meaningful but bounded; the platform absorbs it without restructuring.  (Source baseline: see Sources_And_Derivation_Convention.docx.)</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“Citizen savings exceed federal cost by approximately 2.4x. Net positive economic impact: ~$97B/year. American time and money currently consumed by friction redirected to productive uses.”</w:t>
            </w:r>
          </w:p>
        </w:tc>
      </w:tr>
    </w:tbl>
    <w:p>
      <w:r>
        <w:br w:type="page"/>
      </w:r>
    </w:p>
    <w:p>
      <w:pPr>
        <w:pStyle w:val="Heading1"/>
        <w:spacing w:after="240" w:before="480"/>
      </w:pPr>
      <w:r>
        <w:rPr>
          <w:rFonts w:ascii="Arial" w:cs="Arial" w:eastAsia="Arial" w:hAnsi="Arial"/>
          <w:b/>
          <w:bCs/>
          <w:color w:val="1F4E78"/>
          <w:sz w:val="36"/>
          <w:szCs w:val="36"/>
        </w:rPr>
        <w:t xml:space="preserve">Privacy, Civil Liberties, and Trust</w:t>
      </w:r>
    </w:p>
    <w:p>
      <w:pPr>
        <w:spacing w:after="240" w:line="340"/>
        <w:jc w:val="both"/>
      </w:pPr>
      <w:r>
        <w:rPr>
          <w:rFonts w:ascii="Georgia" w:cs="Georgia" w:eastAsia="Georgia" w:hAnsi="Georgia"/>
          <w:color w:val="1A1A1A"/>
          <w:sz w:val="24"/>
          <w:szCs w:val="24"/>
        </w:rPr>
        <w:t xml:space="preserve">This is the dimension where the integrated argument has the most legitimate concerns and where careful design matters most. A federal civic communication platform that becomes a surveillance database, or a return-free filing system that gives the IRS expanded power without accountability, would be a serious civil liberties problem. The integrated argument's success depends on getting the privacy and trust architecture right.</w:t>
      </w:r>
    </w:p>
    <w:p>
      <w:pPr>
        <w:pStyle w:val="Heading2"/>
        <w:spacing w:after="160" w:before="360"/>
      </w:pPr>
      <w:r>
        <w:rPr>
          <w:rFonts w:ascii="Arial" w:cs="Arial" w:eastAsia="Arial" w:hAnsi="Arial"/>
          <w:b/>
          <w:bCs/>
          <w:color w:val="1F4E78"/>
          <w:sz w:val="28"/>
          <w:szCs w:val="28"/>
        </w:rPr>
        <w:t xml:space="preserve">The Real Concerns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Legitimate concerns the integrated argument raises</w:t>
            </w:r>
          </w:p>
          <w:p>
            <w:pPr>
              <w:spacing w:after="100" w:line="280"/>
            </w:pPr>
            <w:r>
              <w:rPr>
                <w:rFonts w:ascii="Georgia" w:cs="Georgia" w:eastAsia="Georgia" w:hAnsi="Georgia"/>
                <w:color w:val="1A1A1A"/>
                <w:sz w:val="21"/>
                <w:szCs w:val="21"/>
              </w:rPr>
              <w:t xml:space="preserve">•  A federal civic communication platform could become a centralized record of every citizen's political communication — a serious threat to political dissent and free association if implemented poorly.</w:t>
            </w:r>
          </w:p>
          <w:p>
            <w:pPr>
              <w:spacing w:after="100" w:line="280"/>
            </w:pPr>
            <w:r>
              <w:rPr>
                <w:rFonts w:ascii="Georgia" w:cs="Georgia" w:eastAsia="Georgia" w:hAnsi="Georgia"/>
                <w:color w:val="1A1A1A"/>
                <w:sz w:val="21"/>
                <w:szCs w:val="21"/>
              </w:rPr>
              <w:t xml:space="preserve">•  Identity verification could create a national identity infrastructure that enables expanded surveillance beyond civic engagement.</w:t>
            </w:r>
          </w:p>
          <w:p>
            <w:pPr>
              <w:spacing w:after="100" w:line="280"/>
            </w:pPr>
            <w:r>
              <w:rPr>
                <w:rFonts w:ascii="Georgia" w:cs="Georgia" w:eastAsia="Georgia" w:hAnsi="Georgia"/>
                <w:color w:val="1A1A1A"/>
                <w:sz w:val="21"/>
                <w:szCs w:val="21"/>
              </w:rPr>
              <w:t xml:space="preserve">•  Return-free filing could be used as a vehicle for IRS expansion or for additional data collection beyond what's needed for tax calculation.</w:t>
            </w:r>
          </w:p>
          <w:p>
            <w:pPr>
              <w:spacing w:after="100" w:line="280"/>
            </w:pPr>
            <w:r>
              <w:rPr>
                <w:rFonts w:ascii="Georgia" w:cs="Georgia" w:eastAsia="Georgia" w:hAnsi="Georgia"/>
                <w:color w:val="1A1A1A"/>
                <w:sz w:val="21"/>
                <w:szCs w:val="21"/>
              </w:rPr>
              <w:t xml:space="preserve">•  Authentication systems could be vulnerable to security breaches that expose massive amounts of citizen data.</w:t>
            </w:r>
          </w:p>
          <w:p>
            <w:pPr>
              <w:spacing w:after="100" w:line="280"/>
            </w:pPr>
            <w:r>
              <w:rPr>
                <w:rFonts w:ascii="Georgia" w:cs="Georgia" w:eastAsia="Georgia" w:hAnsi="Georgia"/>
                <w:color w:val="1A1A1A"/>
                <w:sz w:val="21"/>
                <w:szCs w:val="21"/>
              </w:rPr>
              <w:t xml:space="preserve">•  Government control of the civic platform could enable content moderation that suppresses unpopular political speech.</w:t>
            </w:r>
          </w:p>
          <w:p>
            <w:pPr>
              <w:spacing w:after="100" w:line="280"/>
            </w:pPr>
            <w:r>
              <w:rPr>
                <w:rFonts w:ascii="Georgia" w:cs="Georgia" w:eastAsia="Georgia" w:hAnsi="Georgia"/>
                <w:color w:val="1A1A1A"/>
                <w:sz w:val="21"/>
                <w:szCs w:val="21"/>
              </w:rPr>
              <w:t xml:space="preserve">•  Mandatory or near-mandatory digital civic engagement could disenfranchise citizens who can't or won't use digital systems.</w:t>
            </w:r>
          </w:p>
          <w:p>
            <w:pPr>
              <w:spacing w:after="100" w:line="280"/>
            </w:pPr>
            <w:r>
              <w:rPr>
                <w:rFonts w:ascii="Georgia" w:cs="Georgia" w:eastAsia="Georgia" w:hAnsi="Georgia"/>
                <w:color w:val="1A1A1A"/>
                <w:sz w:val="21"/>
                <w:szCs w:val="21"/>
              </w:rPr>
              <w:t xml:space="preserve">•  Foreign adversaries could target the platform for influence operations, election interference, or cyberattacks.</w:t>
            </w:r>
          </w:p>
          <w:p>
            <w:pPr>
              <w:spacing w:after="100" w:line="280"/>
            </w:pPr>
            <w:r>
              <w:rPr>
                <w:rFonts w:ascii="Georgia" w:cs="Georgia" w:eastAsia="Georgia" w:hAnsi="Georgia"/>
                <w:color w:val="1A1A1A"/>
                <w:sz w:val="21"/>
                <w:szCs w:val="21"/>
              </w:rPr>
              <w:t xml:space="preserve">•  Trust deficit: many Americans, with reasonable basis, don't trust federal digital systems and won't use them voluntarily.</w:t>
            </w:r>
          </w:p>
        </w:tc>
      </w:tr>
    </w:tbl>
    <w:p>
      <w:pPr>
        <w:spacing w:after="200" w:line="320"/>
        <w:jc w:val="both"/>
      </w:pPr>
      <w:r>
        <w:rPr>
          <w:rFonts w:ascii="Georgia" w:cs="Georgia" w:eastAsia="Georgia" w:hAnsi="Georgia"/>
          <w:color w:val="1A1A1A"/>
          <w:sz w:val="22"/>
          <w:szCs w:val="22"/>
        </w:rPr>
        <w:t xml:space="preserve">These concerns are real and must be addressed through specific design choices, not waved away with good intentions. International experience shows the concerns are addressable, but only with deliberate architecture. Estonia's e-Residency and Singapore's Singpass work because they've spent 15-20 years getting privacy and trust architecture right; they don't work because the technology magically prevents abuse.</w:t>
      </w:r>
    </w:p>
    <w:p>
      <w:pPr>
        <w:pStyle w:val="Heading2"/>
        <w:spacing w:after="160" w:before="360"/>
      </w:pPr>
      <w:r>
        <w:rPr>
          <w:rFonts w:ascii="Arial" w:cs="Arial" w:eastAsia="Arial" w:hAnsi="Arial"/>
          <w:b/>
          <w:bCs/>
          <w:color w:val="1F4E78"/>
          <w:sz w:val="28"/>
          <w:szCs w:val="28"/>
        </w:rPr>
        <w:t xml:space="preserve">Design Principles That Address the Concerns</w:t>
      </w:r>
    </w:p>
    <w:p>
      <w:pPr>
        <w:spacing w:after="200" w:line="320"/>
        <w:jc w:val="both"/>
      </w:pPr>
      <w:r>
        <w:rPr>
          <w:rFonts w:ascii="Georgia" w:cs="Georgia" w:eastAsia="Georgia" w:hAnsi="Georgia"/>
          <w:color w:val="1A1A1A"/>
          <w:sz w:val="22"/>
          <w:szCs w:val="22"/>
        </w:rPr>
        <w:t xml:space="preserve">Each concern has a specific architectural response. The substantiation work for the Civic Technology component must specify these in detail:</w:t>
      </w:r>
    </w:p>
    <w:p>
      <w:pPr>
        <w:pStyle w:val="Heading3"/>
        <w:spacing w:after="120" w:before="240"/>
      </w:pPr>
      <w:r>
        <w:rPr>
          <w:rFonts w:ascii="Arial" w:cs="Arial" w:eastAsia="Arial" w:hAnsi="Arial"/>
          <w:b/>
          <w:bCs/>
          <w:color w:val="C00000"/>
          <w:sz w:val="22"/>
          <w:szCs w:val="22"/>
        </w:rPr>
        <w:t xml:space="preserve">End-to-End Encryption for Sensitive Communication</w:t>
      </w:r>
    </w:p>
    <w:p>
      <w:pPr>
        <w:spacing w:after="200" w:line="320"/>
        <w:jc w:val="both"/>
      </w:pPr>
      <w:r>
        <w:rPr>
          <w:rFonts w:ascii="Georgia" w:cs="Georgia" w:eastAsia="Georgia" w:hAnsi="Georgia"/>
          <w:color w:val="1A1A1A"/>
          <w:sz w:val="22"/>
          <w:szCs w:val="22"/>
        </w:rPr>
        <w:t xml:space="preserve">Citizen messages to representatives, healthcare communications, legal matters, and similar sensitive content must be end-to-end encrypted with citizen-controlled keys. The platform routes the message but cannot read it. The representative receives the message and decrypts it; no intermediate agency or system has access to the content. This isn't optional security; it's the difference between a civic platform and a surveillance platform. Statutory requirement.</w:t>
      </w:r>
    </w:p>
    <w:p>
      <w:pPr>
        <w:pStyle w:val="Heading3"/>
        <w:spacing w:after="120" w:before="240"/>
      </w:pPr>
      <w:r>
        <w:rPr>
          <w:rFonts w:ascii="Arial" w:cs="Arial" w:eastAsia="Arial" w:hAnsi="Arial"/>
          <w:b/>
          <w:bCs/>
          <w:color w:val="C00000"/>
          <w:sz w:val="22"/>
          <w:szCs w:val="22"/>
        </w:rPr>
        <w:t xml:space="preserve">Privacy-Preserving Authentication</w:t>
      </w:r>
    </w:p>
    <w:p>
      <w:pPr>
        <w:spacing w:after="200" w:line="320"/>
        <w:jc w:val="both"/>
      </w:pPr>
      <w:r>
        <w:rPr>
          <w:rFonts w:ascii="Georgia" w:cs="Georgia" w:eastAsia="Georgia" w:hAnsi="Georgia"/>
          <w:color w:val="1A1A1A"/>
          <w:sz w:val="22"/>
          <w:szCs w:val="22"/>
        </w:rPr>
        <w:t xml:space="preserve">Identity verification uses cryptographic patterns that prove eligibility without revealing identity to non-essential parties. Estonia's model: a citizen can prove 'I am a US citizen' or 'I am over 18' or 'I live in district 4' without revealing their name or specific identity. Sweden's model: identity provided by banks the citizen chooses, government accepts the bank's vouching without operating its own identity system. The US implementation should follow these patterns: prove eligibility, don't create centralized surveillance database.</w:t>
      </w:r>
    </w:p>
    <w:p>
      <w:pPr>
        <w:pStyle w:val="Heading3"/>
        <w:spacing w:after="120" w:before="240"/>
      </w:pPr>
      <w:r>
        <w:rPr>
          <w:rFonts w:ascii="Arial" w:cs="Arial" w:eastAsia="Arial" w:hAnsi="Arial"/>
          <w:b/>
          <w:bCs/>
          <w:color w:val="C00000"/>
          <w:sz w:val="22"/>
          <w:szCs w:val="22"/>
        </w:rPr>
        <w:t xml:space="preserve">Federated Architecture, Not Centralized Database</w:t>
      </w:r>
    </w:p>
    <w:p>
      <w:pPr>
        <w:spacing w:after="200" w:line="320"/>
        <w:jc w:val="both"/>
      </w:pPr>
      <w:r>
        <w:rPr>
          <w:rFonts w:ascii="Georgia" w:cs="Georgia" w:eastAsia="Georgia" w:hAnsi="Georgia"/>
          <w:color w:val="1A1A1A"/>
          <w:sz w:val="22"/>
          <w:szCs w:val="22"/>
        </w:rPr>
        <w:t xml:space="preserve">The civic platform doesn't centralize citizen data. It provides a unified citizen interface to federated agency systems. The IRS keeps tax data; SSA keeps benefit data; representative offices keep their constituent communications. The citizen sees a unified experience but no single agency or database holds everything. A breach of any single system exposes only that system's data, not a comprehensive citizen profile. This federation principle should be statutory.</w:t>
      </w:r>
    </w:p>
    <w:p>
      <w:pPr>
        <w:pStyle w:val="Heading3"/>
        <w:spacing w:after="120" w:before="240"/>
      </w:pPr>
      <w:r>
        <w:rPr>
          <w:rFonts w:ascii="Arial" w:cs="Arial" w:eastAsia="Arial" w:hAnsi="Arial"/>
          <w:b/>
          <w:bCs/>
          <w:color w:val="C00000"/>
          <w:sz w:val="22"/>
          <w:szCs w:val="22"/>
        </w:rPr>
        <w:t xml:space="preserve">Citizen Ownership and Control of Data</w:t>
      </w:r>
    </w:p>
    <w:p>
      <w:pPr>
        <w:spacing w:after="200" w:line="320"/>
        <w:jc w:val="both"/>
      </w:pPr>
      <w:r>
        <w:rPr>
          <w:rFonts w:ascii="Georgia" w:cs="Georgia" w:eastAsia="Georgia" w:hAnsi="Georgia"/>
          <w:color w:val="1A1A1A"/>
          <w:sz w:val="22"/>
          <w:szCs w:val="22"/>
        </w:rPr>
        <w:t xml:space="preserve">Every citizen has the legal right to view, export, correct, and delete their own data. No agency may retain civic platform records beyond statutory minimum. Citizens can use the platform pseudonymously where authentication doesn't require legal identity. Citizens can revoke consent at any time and require deletion of records that aren't legally required. Right-to-be-forgotten as statutory baseline, not as agency discretion.</w:t>
      </w:r>
    </w:p>
    <w:p>
      <w:pPr>
        <w:pStyle w:val="Heading3"/>
        <w:spacing w:after="120" w:before="240"/>
      </w:pPr>
      <w:r>
        <w:rPr>
          <w:rFonts w:ascii="Arial" w:cs="Arial" w:eastAsia="Arial" w:hAnsi="Arial"/>
          <w:b/>
          <w:bCs/>
          <w:color w:val="C00000"/>
          <w:sz w:val="22"/>
          <w:szCs w:val="22"/>
        </w:rPr>
        <w:t xml:space="preserve">Open Source and Independently Auditable</w:t>
      </w:r>
    </w:p>
    <w:p>
      <w:pPr>
        <w:spacing w:after="200" w:line="320"/>
        <w:jc w:val="both"/>
      </w:pPr>
      <w:r>
        <w:rPr>
          <w:rFonts w:ascii="Georgia" w:cs="Georgia" w:eastAsia="Georgia" w:hAnsi="Georgia"/>
          <w:color w:val="1A1A1A"/>
          <w:sz w:val="22"/>
          <w:szCs w:val="22"/>
        </w:rPr>
        <w:t>The platform's codebase is public. Independent security researchers, civil society organizations, and academic institutions can audit the platform continuously. Cryptographic protocols are publicly reviewable. Trust comes from transparency and verification, not from agency assurance. Vulnerability disclosure programs ensure responsible reporting and rapid patching. No proprietary 'security through obscurity' acceptable for Civic Infrastructure.</w:t>
      </w:r>
    </w:p>
    <w:p>
      <w:pPr>
        <w:pStyle w:val="Heading3"/>
        <w:spacing w:after="120" w:before="240"/>
      </w:pPr>
      <w:r>
        <w:rPr>
          <w:rFonts w:ascii="Arial" w:cs="Arial" w:eastAsia="Arial" w:hAnsi="Arial"/>
          <w:b/>
          <w:bCs/>
          <w:color w:val="C00000"/>
          <w:sz w:val="22"/>
          <w:szCs w:val="22"/>
        </w:rPr>
        <w:t xml:space="preserve">Statutory Free Speech Protections</w:t>
      </w:r>
    </w:p>
    <w:p>
      <w:pPr>
        <w:spacing w:after="200" w:line="320"/>
        <w:jc w:val="both"/>
      </w:pPr>
      <w:r>
        <w:rPr>
          <w:rFonts w:ascii="Georgia" w:cs="Georgia" w:eastAsia="Georgia" w:hAnsi="Georgia"/>
          <w:color w:val="1A1A1A"/>
          <w:sz w:val="22"/>
          <w:szCs w:val="22"/>
        </w:rPr>
        <w:t xml:space="preserve">The platform doesn't moderate political speech in citizen communication with representatives. Threats and direct harassment are addressable through existing law, and representative offices choose what to engage with from their constituent communications. Political speech, including unpopular political speech, gets carried, not filtered. This should be statutorily protected at platform creation, with constitutional language preferable, to prevent future administrations from changing rules through executive action.</w:t>
      </w:r>
    </w:p>
    <w:p>
      <w:pPr>
        <w:pStyle w:val="Heading3"/>
        <w:spacing w:after="120" w:before="240"/>
      </w:pPr>
      <w:r>
        <w:rPr>
          <w:rFonts w:ascii="Arial" w:cs="Arial" w:eastAsia="Arial" w:hAnsi="Arial"/>
          <w:b/>
          <w:bCs/>
          <w:color w:val="C00000"/>
          <w:sz w:val="22"/>
          <w:szCs w:val="22"/>
        </w:rPr>
        <w:t xml:space="preserve">Judicial Oversight of Law Enforcement Access</w:t>
      </w:r>
    </w:p>
    <w:p>
      <w:pPr>
        <w:spacing w:after="200" w:line="320"/>
        <w:jc w:val="both"/>
      </w:pPr>
      <w:r>
        <w:rPr>
          <w:rFonts w:ascii="Georgia" w:cs="Georgia" w:eastAsia="Georgia" w:hAnsi="Georgia"/>
          <w:color w:val="1A1A1A"/>
          <w:sz w:val="22"/>
          <w:szCs w:val="22"/>
        </w:rPr>
        <w:t xml:space="preserve">Any law enforcement access to platform records requires judicial warrant with specific probable cause for the specific records sought. No bulk collection. No back doors. No 'national security letter' bypass of warrant requirements for civic platform data. The platform serves citizens; it doesn't serve law enforcement except through normal warrant processes that apply to any private communication. Clear statutory language and constitutional protections required.</w:t>
      </w:r>
    </w:p>
    <w:p>
      <w:pPr>
        <w:pStyle w:val="Heading3"/>
        <w:spacing w:after="120" w:before="240"/>
      </w:pPr>
      <w:r>
        <w:rPr>
          <w:rFonts w:ascii="Arial" w:cs="Arial" w:eastAsia="Arial" w:hAnsi="Arial"/>
          <w:b/>
          <w:bCs/>
          <w:color w:val="C00000"/>
          <w:sz w:val="22"/>
          <w:szCs w:val="22"/>
        </w:rPr>
        <w:t xml:space="preserve">Universal Two-Channel Architecture</w:t>
      </w:r>
    </w:p>
    <w:p>
      <w:pPr>
        <w:spacing w:after="200" w:line="320"/>
        <w:jc w:val="both"/>
      </w:pPr>
      <w:r>
        <w:rPr>
          <w:rFonts w:ascii="Georgia" w:cs="Georgia" w:eastAsia="Georgia" w:hAnsi="Georgia"/>
          <w:color w:val="1A1A1A"/>
          <w:sz w:val="22"/>
          <w:szCs w:val="22"/>
        </w:rPr>
        <w:t xml:space="preserve">Library access (and equivalent in-person government service centers) ensures that citizens who can't or won't use digital systems retain full civic engagement capability. Paper filing remains available for return-free filing review. Phone access to representatives remains available. The platform is one channel; not the only channel. Mandatory digital-only government interaction is rejected. Citizens choose their preferred engagement method.</w:t>
      </w:r>
    </w:p>
    <w:p>
      <w:pPr>
        <w:pStyle w:val="Heading3"/>
        <w:spacing w:after="120" w:before="240"/>
      </w:pPr>
      <w:r>
        <w:rPr>
          <w:rFonts w:ascii="Arial" w:cs="Arial" w:eastAsia="Arial" w:hAnsi="Arial"/>
          <w:b/>
          <w:bCs/>
          <w:color w:val="C00000"/>
          <w:sz w:val="22"/>
          <w:szCs w:val="22"/>
        </w:rPr>
        <w:t xml:space="preserve">Foreign Interference Protection</w:t>
      </w:r>
    </w:p>
    <w:p>
      <w:pPr>
        <w:spacing w:after="200" w:line="320"/>
        <w:jc w:val="both"/>
      </w:pPr>
      <w:r>
        <w:rPr>
          <w:rFonts w:ascii="Georgia" w:cs="Georgia" w:eastAsia="Georgia" w:hAnsi="Georgia"/>
          <w:color w:val="1A1A1A"/>
          <w:sz w:val="22"/>
          <w:szCs w:val="22"/>
        </w:rPr>
        <w:t xml:space="preserve">Authentication that ensures real US citizenship is required for civic engagement features (polls, public comment, representative communication). This protects against foreign interference while not blocking legitimate participation. Identity verification specifically designed to detect bot networks, coordinated inauthentic behavior, and foreign-controlled accounts. Public reporting on detected interference and platform response. The civic platform shouldn't be a vector for foreign influence operations.</w:t>
      </w:r>
    </w:p>
    <w:p>
      <w:pPr>
        <w:pStyle w:val="Heading3"/>
        <w:spacing w:after="120" w:before="240"/>
      </w:pPr>
      <w:r>
        <w:rPr>
          <w:rFonts w:ascii="Arial" w:cs="Arial" w:eastAsia="Arial" w:hAnsi="Arial"/>
          <w:b/>
          <w:bCs/>
          <w:color w:val="C00000"/>
          <w:sz w:val="22"/>
          <w:szCs w:val="22"/>
        </w:rPr>
        <w:t xml:space="preserve">Trust-Building Through Implementation Quality</w:t>
      </w:r>
    </w:p>
    <w:p>
      <w:pPr>
        <w:spacing w:after="200" w:line="320"/>
        <w:jc w:val="both"/>
      </w:pPr>
      <w:r>
        <w:rPr>
          <w:rFonts w:ascii="Georgia" w:cs="Georgia" w:eastAsia="Georgia" w:hAnsi="Georgia"/>
          <w:color w:val="1A1A1A"/>
          <w:sz w:val="22"/>
          <w:szCs w:val="22"/>
        </w:rPr>
        <w:t xml:space="preserve">Trust is earned, not declared. The platform's implementation must demonstrably work well, protect privacy, respect civil liberties, and serve citizens before citizens will trust it. International experience shows this takes years of consistent operation. The substantiation work should plan for slow trust accumulation: pilot programs first, measured expansion based on demonstrated success, willingness to roll back if implementation fails.</w:t>
      </w:r>
    </w:p>
    <w:p>
      <w:pPr>
        <w:pStyle w:val="Heading2"/>
        <w:spacing w:after="160" w:before="360"/>
      </w:pPr>
      <w:r>
        <w:rPr>
          <w:rFonts w:ascii="Arial" w:cs="Arial" w:eastAsia="Arial" w:hAnsi="Arial"/>
          <w:b/>
          <w:bCs/>
          <w:color w:val="1F4E78"/>
          <w:sz w:val="28"/>
          <w:szCs w:val="28"/>
        </w:rPr>
        <w:t xml:space="preserve">Civil Liberties Audit Function</w:t>
      </w:r>
    </w:p>
    <w:p>
      <w:pPr>
        <w:spacing w:after="200" w:line="320"/>
        <w:jc w:val="both"/>
      </w:pPr>
      <w:r>
        <w:rPr>
          <w:rFonts w:ascii="Georgia" w:cs="Georgia" w:eastAsia="Georgia" w:hAnsi="Georgia"/>
          <w:color w:val="1A1A1A"/>
          <w:sz w:val="22"/>
          <w:szCs w:val="22"/>
        </w:rPr>
        <w:t xml:space="preserve">The platform should have an explicit civil liberties audit function, modeled on the Privacy and Civil Liberties Oversight Board (PCLOB) but with sharper teeth. An independent body with authority to review the platform's operations, recommend changes, publicize concerns, and (in extreme cases) recommend feature suspension pending civil liberties review. Annual public reports on platform operations and any identified civil liberties concerns. This is structural protection beyond what relies on good intentions of the operating agency.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“Trust is earned, not declared. International experience shows this takes years of consistent operation. The substantiation should plan for slow trust accumulation: pilot programs first, measured expansion, willingness to roll back if implementation fails.”</w:t>
            </w:r>
          </w:p>
        </w:tc>
      </w:tr>
    </w:tbl>
    <w:p>
      <w:r>
        <w:br w:type="page"/>
      </w:r>
    </w:p>
    <w:p>
      <w:pPr>
        <w:pStyle w:val="Heading1"/>
        <w:spacing w:after="240" w:before="480"/>
      </w:pPr>
      <w:r>
        <w:rPr>
          <w:rFonts w:ascii="Arial" w:cs="Arial" w:eastAsia="Arial" w:hAnsi="Arial"/>
          <w:b/>
          <w:bCs/>
          <w:color w:val="1F4E78"/>
          <w:sz w:val="36"/>
          <w:szCs w:val="36"/>
        </w:rPr>
        <w:t xml:space="preserve">Cross-Pillar Integration</w:t>
      </w:r>
    </w:p>
    <w:p>
      <w:pPr>
        <w:spacing w:after="240" w:line="340"/>
        <w:jc w:val="both"/>
      </w:pPr>
      <w:r>
        <w:rPr>
          <w:rFonts w:ascii="Georgia" w:cs="Georgia" w:eastAsia="Georgia" w:hAnsi="Georgia"/>
          <w:color w:val="1A1A1A"/>
          <w:sz w:val="24"/>
          <w:szCs w:val="24"/>
        </w:rPr>
        <w:t xml:space="preserve">The integrated argument doesn't just add to the Civic Infrastructure pillar; it transforms how several other platform pillars deliver their commitments. The civic platform becomes the delivery channel for healthcare enrollment, education aid distribution, retirement benefit access, and tax architecture. This cross-pillar integration is part of why the integrated argument is substantially stronger than the broadband-alone case.</w:t>
      </w:r>
    </w:p>
    <w:p>
      <w:pPr>
        <w:pStyle w:val="Heading2"/>
        <w:spacing w:after="160" w:before="360"/>
      </w:pPr>
      <w:r>
        <w:rPr>
          <w:rFonts w:ascii="Arial" w:cs="Arial" w:eastAsia="Arial" w:hAnsi="Arial"/>
          <w:b/>
          <w:bCs/>
          <w:color w:val="1F4E78"/>
          <w:sz w:val="28"/>
          <w:szCs w:val="28"/>
        </w:rPr>
        <w:t xml:space="preserve">Healthcare</w:t>
      </w:r>
    </w:p>
    <w:p>
      <w:pPr>
        <w:spacing w:after="200" w:line="320"/>
        <w:jc w:val="both"/>
      </w:pPr>
      <w:r>
        <w:rPr>
          <w:rFonts w:ascii="Georgia" w:cs="Georgia" w:eastAsia="Georgia" w:hAnsi="Georgia"/>
          <w:color w:val="1A1A1A"/>
          <w:sz w:val="22"/>
          <w:szCs w:val="22"/>
        </w:rPr>
        <w:t xml:space="preserve">Universal healthcare under the platform's healthcare pillar requires identity verification (knowing who is enrolled), eligibility verification (knowing what services they're entitled to), provider directory access (knowing where they can receive care), appointment scheduling, electronic health records access, and prescription transmission. Currently, each insurance plan, hospital system, and pharmacy chain has its own digital infrastructure with its own login and its own quirks. The civic platform consolidates this into a single citizen-facing experience: log in once, access all healthcare services, including the platform's universal coverage program.</w:t>
      </w:r>
    </w:p>
    <w:p>
      <w:pPr>
        <w:spacing w:after="200" w:line="320"/>
        <w:jc w:val="both"/>
      </w:pPr>
      <w:r>
        <w:rPr>
          <w:rFonts w:ascii="Georgia" w:cs="Georgia" w:eastAsia="Georgia" w:hAnsi="Georgia"/>
          <w:color w:val="1A1A1A"/>
          <w:sz w:val="22"/>
          <w:szCs w:val="22"/>
        </w:rPr>
        <w:t xml:space="preserve">Specifically, return-free filing data flow into healthcare eligibility verification (income-based premium subsidies if any, Medicaid eligibility), reducing the administrative friction that currently blocks people from healthcare they're entitled to. Mental health access scheduling (the Universal Mental Health Access Substantiation's telehealth component) integrates with the civic platform's authenticated identity. Healthcare fraud prevention improves through unified identity infrastructure.</w:t>
      </w:r>
    </w:p>
    <w:p>
      <w:pPr>
        <w:pStyle w:val="Heading2"/>
        <w:spacing w:after="160" w:before="360"/>
      </w:pPr>
      <w:r>
        <w:rPr>
          <w:rFonts w:ascii="Arial" w:cs="Arial" w:eastAsia="Arial" w:hAnsi="Arial"/>
          <w:b/>
          <w:bCs/>
          <w:color w:val="1F4E78"/>
          <w:sz w:val="28"/>
          <w:szCs w:val="28"/>
        </w:rPr>
        <w:t xml:space="preserve">Sovereign Education Fund</w:t>
      </w:r>
    </w:p>
    <w:p>
      <w:pPr>
        <w:spacing w:after="200" w:line="320"/>
        <w:jc w:val="both"/>
      </w:pPr>
      <w:r>
        <w:rPr>
          <w:rFonts w:ascii="Georgia" w:cs="Georgia" w:eastAsia="Georgia" w:hAnsi="Georgia"/>
          <w:color w:val="1A1A1A"/>
          <w:sz w:val="22"/>
          <w:szCs w:val="22"/>
        </w:rPr>
        <w:t xml:space="preserve">Education aid distribution — grants for K-12 supplemental support, post-secondary tuition assistance, vocational training stipends — currently happens through fragmented programs (Pell Grants, state aid programs, federal student loans, work-study). The Sovereign Education Fund's commitment to making post-secondary affordable depends on aid actually reaching students who qualify. Currently, financial aid application complexity (FAFSA) discourages eligible students from applying. Return-free filing's data populates aid eligibility automatically. The civic platform delivers aid offers to students with their authenticated identity. Friction in accessing education aid drops substantially.</w:t>
      </w:r>
    </w:p>
    <w:p>
      <w:pPr>
        <w:spacing w:after="200" w:line="320"/>
        <w:jc w:val="both"/>
      </w:pPr>
      <w:r>
        <w:rPr>
          <w:rFonts w:ascii="Georgia" w:cs="Georgia" w:eastAsia="Georgia" w:hAnsi="Georgia"/>
          <w:color w:val="1A1A1A"/>
          <w:sz w:val="22"/>
          <w:szCs w:val="22"/>
        </w:rPr>
        <w:t xml:space="preserve">The library backstop for civic platform access matters particularly for education. Students from low-income or technologically marginal households can complete financial aid review at the library with librarian assistance. The two-channel architecture ensures aid access doesn't require the household having strong digital fluency.</w:t>
      </w:r>
    </w:p>
    <w:p>
      <w:pPr>
        <w:pStyle w:val="Heading2"/>
        <w:spacing w:after="160" w:before="360"/>
      </w:pPr>
      <w:r>
        <w:rPr>
          <w:rFonts w:ascii="Arial" w:cs="Arial" w:eastAsia="Arial" w:hAnsi="Arial"/>
          <w:b/>
          <w:bCs/>
          <w:color w:val="1F4E78"/>
          <w:sz w:val="28"/>
          <w:szCs w:val="28"/>
        </w:rPr>
        <w:t xml:space="preserve">Universal Childcare</w:t>
      </w:r>
    </w:p>
    <w:p>
      <w:pPr>
        <w:spacing w:after="200" w:line="320"/>
        <w:jc w:val="both"/>
      </w:pPr>
      <w:r>
        <w:rPr>
          <w:rFonts w:ascii="Georgia" w:cs="Georgia" w:eastAsia="Georgia" w:hAnsi="Georgia"/>
          <w:color w:val="1A1A1A"/>
          <w:sz w:val="22"/>
          <w:szCs w:val="22"/>
        </w:rPr>
        <w:t xml:space="preserve">Childcare enrollment, eligibility verification (for sliding scale fees), provider directory, and waiting list management currently happen through state and local systems with wildly varying quality. The civic platform's federated architecture lets state and local childcare authorities integrate their systems with the unified citizen interface. A parent searching for childcare in their area sees a single accessible interface regardless of which state they're in or which provider they ultimately choose. The pillar's universal access target is more achievable when discovery and enrollment friction is reduced.</w:t>
      </w:r>
    </w:p>
    <w:p>
      <w:pPr>
        <w:pStyle w:val="Heading2"/>
        <w:spacing w:after="160" w:before="360"/>
      </w:pPr>
      <w:r>
        <w:rPr>
          <w:rFonts w:ascii="Arial" w:cs="Arial" w:eastAsia="Arial" w:hAnsi="Arial"/>
          <w:b/>
          <w:bCs/>
          <w:color w:val="1F4E78"/>
          <w:sz w:val="28"/>
          <w:szCs w:val="28"/>
        </w:rPr>
        <w:t xml:space="preserve">Universal Mental Health Access</w:t>
      </w:r>
    </w:p>
    <w:p>
      <w:pPr>
        <w:spacing w:after="200" w:line="320"/>
        <w:jc w:val="both"/>
      </w:pPr>
      <w:r>
        <w:rPr>
          <w:rFonts w:ascii="Georgia" w:cs="Georgia" w:eastAsia="Georgia" w:hAnsi="Georgia"/>
          <w:color w:val="1A1A1A"/>
          <w:sz w:val="22"/>
          <w:szCs w:val="22"/>
        </w:rPr>
        <w:t xml:space="preserve">The Universal Mental Health Access Substantiation explicitly identified telehealth as the workforce capacity multiplier (1.5-2.5x) that makes universal access operationally feasible. The civic platform integrates mental health appointment scheduling, telehealth video infrastructure, and platform-mediated mental health crisis access. The library backstop matters acutely for mental health: private rooms at libraries with good broadband connections enable telehealth sessions for people who don't have private space at home. The combined commitment delivers mental health access with substantially less friction than current fragmented systems.</w:t>
      </w:r>
    </w:p>
    <w:p>
      <w:pPr>
        <w:pStyle w:val="Heading2"/>
        <w:spacing w:after="160" w:before="360"/>
      </w:pPr>
      <w:r>
        <w:rPr>
          <w:rFonts w:ascii="Arial" w:cs="Arial" w:eastAsia="Arial" w:hAnsi="Arial"/>
          <w:b/>
          <w:bCs/>
          <w:color w:val="1F4E78"/>
          <w:sz w:val="28"/>
          <w:szCs w:val="28"/>
        </w:rPr>
        <w:t xml:space="preserve">Retirement and the Sovereign Fund</w:t>
      </w:r>
    </w:p>
    <w:p>
      <w:pPr>
        <w:spacing w:after="200" w:line="320"/>
        <w:jc w:val="both"/>
      </w:pPr>
      <w:r>
        <w:rPr>
          <w:rFonts w:ascii="Georgia" w:cs="Georgia" w:eastAsia="Georgia" w:hAnsi="Georgia"/>
          <w:color w:val="1A1A1A"/>
          <w:sz w:val="22"/>
          <w:szCs w:val="22"/>
        </w:rPr>
        <w:t xml:space="preserve">The platform's retirement architecture relies on a Sovereign Fund delivering disbursements to current retirees. The civic platform delivers retirement benefit information, account access, beneficiary designation, and survivor benefits through a unified interface. Currently, retirees navigate Social Security plus Medicare plus prescription drug plans plus state senior services plus pension administration through separate systems. The civic platform consolidates this into a single retirement-stage interface. Return-free filing handles retirement income tax automatically.</w:t>
      </w:r>
    </w:p>
    <w:p>
      <w:pPr>
        <w:pStyle w:val="Heading2"/>
        <w:spacing w:after="160" w:before="360"/>
      </w:pPr>
      <w:r>
        <w:rPr>
          <w:rFonts w:ascii="Arial" w:cs="Arial" w:eastAsia="Arial" w:hAnsi="Arial"/>
          <w:b/>
          <w:bCs/>
          <w:color w:val="1F4E78"/>
          <w:sz w:val="28"/>
          <w:szCs w:val="28"/>
        </w:rPr>
        <w:t xml:space="preserve">Wage Floor Architecture and Telework</w:t>
      </w:r>
    </w:p>
    <w:p>
      <w:pPr>
        <w:spacing w:after="200" w:line="320"/>
        <w:jc w:val="both"/>
      </w:pPr>
      <w:r>
        <w:rPr>
          <w:rFonts w:ascii="Georgia" w:cs="Georgia" w:eastAsia="Georgia" w:hAnsi="Georgia"/>
          <w:color w:val="1A1A1A"/>
          <w:sz w:val="22"/>
          <w:szCs w:val="22"/>
        </w:rPr>
        <w:t xml:space="preserve">The platform's wage floor commitment relies partly on telework expanding employment opportunity for workers in low-wage areas. Telework requires reliable broadband. The civic platform provides employment-related services (unemployment insurance, retraining program enrollment, occupational licensing) that integrate with the wage floor architecture. Workers transitioning between jobs (the platform's broader workforce development support) experience less friction in accessing the support they're entitled to.</w:t>
      </w:r>
    </w:p>
    <w:p>
      <w:pPr>
        <w:pStyle w:val="Heading2"/>
        <w:spacing w:after="160" w:before="360"/>
      </w:pPr>
      <w:r>
        <w:rPr>
          <w:rFonts w:ascii="Arial" w:cs="Arial" w:eastAsia="Arial" w:hAnsi="Arial"/>
          <w:b/>
          <w:bCs/>
          <w:color w:val="1F4E78"/>
          <w:sz w:val="28"/>
          <w:szCs w:val="28"/>
        </w:rPr>
        <w:t xml:space="preserve">The Coherence This Produces</w:t>
      </w:r>
    </w:p>
    <w:p>
      <w:pPr>
        <w:spacing w:after="200" w:line="320"/>
        <w:jc w:val="both"/>
      </w:pPr>
      <w:r>
        <w:rPr>
          <w:rFonts w:ascii="Georgia" w:cs="Georgia" w:eastAsia="Georgia" w:hAnsi="Georgia"/>
          <w:color w:val="1A1A1A"/>
          <w:sz w:val="22"/>
          <w:szCs w:val="22"/>
        </w:rPr>
        <w:t xml:space="preserve">Each platform pillar has historically required citizens to navigate separate systems with separate logins, separate eligibility processes, separate communication channels. The integrated argument's civic platform consolidates the citizen experience without consolidating the underlying agency operations. Federal Highway Administration still operates highways; IRS still operates tax administration; SSA still operates retirement benefits; HHS still operates healthcare programs. But the citizen sees a unified interface, with single sign-on, with consolidated information, with reduced friction across all platform pillars.</w:t>
      </w:r>
    </w:p>
    <w:p>
      <w:pPr>
        <w:spacing w:after="200" w:line="320"/>
        <w:jc w:val="both"/>
      </w:pPr>
      <w:r>
        <w:rPr>
          <w:rFonts w:ascii="Georgia" w:cs="Georgia" w:eastAsia="Georgia" w:hAnsi="Georgia"/>
          <w:color w:val="1A1A1A"/>
          <w:sz w:val="22"/>
          <w:szCs w:val="22"/>
        </w:rPr>
        <w:t xml:space="preserve">This coherence is what makes the integrated argument structurally stronger than the broadband-alone case. The platform's commitment isn't just to deliver universal services; it's to deliver them through a citizen experience that doesn't require Americans to be expert navigators of fragmented government systems. The modernization commitment serves the substantive policy commitments by making them actually accessible to the people they're meant to serve.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civic platform consolidates the citizen experience without consolidating underlying agency operations. Each agency continues operations; the citizen sees a unified interface. The modernization commitment serves the substantive policy commitments by making them actually accessible.”</w:t>
            </w:r>
          </w:p>
        </w:tc>
      </w:tr>
    </w:tbl>
    <w:p>
      <w:r>
        <w:br w:type="page"/>
      </w:r>
    </w:p>
    <w:p>
      <w:pPr>
        <w:pStyle w:val="Heading1"/>
        <w:spacing w:after="240" w:before="480"/>
      </w:pPr>
      <w:r>
        <w:rPr>
          <w:rFonts w:ascii="Arial" w:cs="Arial" w:eastAsia="Arial" w:hAnsi="Arial"/>
          <w:b/>
          <w:bCs/>
          <w:color w:val="1F4E78"/>
          <w:sz w:val="36"/>
          <w:szCs w:val="36"/>
        </w:rPr>
        <w:t xml:space="preserve">Honest Acknowledgments</w:t>
      </w:r>
    </w:p>
    <w:p>
      <w:pPr>
        <w:spacing w:after="240" w:line="340"/>
        <w:jc w:val="both"/>
      </w:pPr>
      <w:r>
        <w:rPr>
          <w:rFonts w:ascii="Georgia" w:cs="Georgia" w:eastAsia="Georgia" w:hAnsi="Georgia"/>
          <w:color w:val="1A1A1A"/>
          <w:sz w:val="24"/>
          <w:szCs w:val="24"/>
        </w:rPr>
        <w:t xml:space="preserve">The integrated argument is substantially stronger than the broadband-alone case, but it's also a more substantial federal commitment with more dimensions of complexity. This section articulates the honest acknowledgments that the substantiation work must address.</w:t>
      </w:r>
    </w:p>
    <w:p>
      <w:pPr>
        <w:pStyle w:val="Heading2"/>
        <w:spacing w:after="160" w:before="360"/>
      </w:pPr>
      <w:r>
        <w:rPr>
          <w:rFonts w:ascii="Arial" w:cs="Arial" w:eastAsia="Arial" w:hAnsi="Arial"/>
          <w:b/>
          <w:bCs/>
          <w:color w:val="1F4E78"/>
          <w:sz w:val="28"/>
          <w:szCs w:val="28"/>
        </w:rPr>
        <w:t xml:space="preserve">Implementation Complexity</w:t>
      </w:r>
    </w:p>
    <w:p>
      <w:pPr>
        <w:spacing w:after="200" w:line="320"/>
        <w:jc w:val="both"/>
      </w:pPr>
      <w:r>
        <w:rPr>
          <w:rFonts w:ascii="Georgia" w:cs="Georgia" w:eastAsia="Georgia" w:hAnsi="Georgia"/>
          <w:color w:val="1A1A1A"/>
          <w:sz w:val="22"/>
          <w:szCs w:val="22"/>
        </w:rPr>
        <w:t xml:space="preserve">Building the civic communication platform is a serious operational undertaking. Estonia, Singapore, and other comparators built their systems over 15-20 years through deliberate phased deployment. The US implementation should plan for a similar timeline rather than expecting deployment in a single administration. Failed digital government implementations (the initial Healthcare.gov rollout, multiple state benefit system modernizations, the IRS's various failed modernization attempts) demonstrate that doing this badly is worse than not doing it. The substantiation work must plan for high implementation quality and accept the time it takes to achieve.</w:t>
      </w:r>
    </w:p>
    <w:p>
      <w:pPr>
        <w:pStyle w:val="Heading2"/>
        <w:spacing w:after="160" w:before="360"/>
      </w:pPr>
      <w:r>
        <w:rPr>
          <w:rFonts w:ascii="Arial" w:cs="Arial" w:eastAsia="Arial" w:hAnsi="Arial"/>
          <w:b/>
          <w:bCs/>
          <w:color w:val="1F4E78"/>
          <w:sz w:val="28"/>
          <w:szCs w:val="28"/>
        </w:rPr>
        <w:t xml:space="preserve">Trust Deficit</w:t>
      </w:r>
    </w:p>
    <w:p>
      <w:pPr>
        <w:spacing w:after="200" w:line="320"/>
        <w:jc w:val="both"/>
      </w:pPr>
      <w:r>
        <w:rPr>
          <w:rFonts w:ascii="Georgia" w:cs="Georgia" w:eastAsia="Georgia" w:hAnsi="Georgia"/>
          <w:color w:val="1A1A1A"/>
          <w:sz w:val="22"/>
          <w:szCs w:val="22"/>
        </w:rPr>
        <w:t xml:space="preserve">Many Americans, with reasonable basis from past experience, don't trust federal digital systems. The civic platform's success depends on earning trust through demonstrated quality of operation, not on declaring trust. This means accepting slower adoption initially while quality builds. It means designing for skeptics rather than designing for evangelists. It means privacy and civil liberties protections that exceed what's strictly necessary, demonstrably exceeded, so that even citizens predisposed to distrust find no specific reason to refuse engagement. Trust accumulation is the bottleneck, not technical capability.</w:t>
      </w:r>
    </w:p>
    <w:p>
      <w:pPr>
        <w:pStyle w:val="Heading2"/>
        <w:spacing w:after="160" w:before="360"/>
      </w:pPr>
      <w:r>
        <w:rPr>
          <w:rFonts w:ascii="Arial" w:cs="Arial" w:eastAsia="Arial" w:hAnsi="Arial"/>
          <w:b/>
          <w:bCs/>
          <w:color w:val="1F4E78"/>
          <w:sz w:val="28"/>
          <w:szCs w:val="28"/>
        </w:rPr>
        <w:t xml:space="preserve">Tax Prep Industry Disruption</w:t>
      </w:r>
    </w:p>
    <w:p>
      <w:pPr>
        <w:spacing w:after="200" w:line="320"/>
        <w:jc w:val="both"/>
      </w:pPr>
      <w:r>
        <w:rPr>
          <w:rFonts w:ascii="Georgia" w:cs="Georgia" w:eastAsia="Georgia" w:hAnsi="Georgia"/>
          <w:color w:val="1A1A1A"/>
          <w:sz w:val="22"/>
          <w:szCs w:val="22"/>
        </w:rPr>
        <w:t>Return-free filing eliminates approximately $30 billion per year of tax preparation industry revenue and approximately 100,000 jobs. This is real economic disruption that affects real people. The substantiation work needs explicit treatment: phased rollout, retraining support, retained services for complex returns, certified tax preparer programs, acknowledgment that this is deliberate policy choice with real costs. Pretending the disruption doesn't exist or doesn't matter is both dishonest and politically counterproductive.  (Source baseline: see Sources_And_Derivation_Convention.docx.)</w:t>
      </w:r>
    </w:p>
    <w:p>
      <w:pPr>
        <w:pStyle w:val="Heading2"/>
        <w:spacing w:after="160" w:before="360"/>
      </w:pPr>
      <w:r>
        <w:rPr>
          <w:rFonts w:ascii="Arial" w:cs="Arial" w:eastAsia="Arial" w:hAnsi="Arial"/>
          <w:b/>
          <w:bCs/>
          <w:color w:val="1F4E78"/>
          <w:sz w:val="28"/>
          <w:szCs w:val="28"/>
        </w:rPr>
        <w:t xml:space="preserve">Library System Strain</w:t>
      </w:r>
    </w:p>
    <w:p>
      <w:pPr>
        <w:spacing w:after="200" w:line="320"/>
        <w:jc w:val="both"/>
      </w:pPr>
      <w:r>
        <w:rPr>
          <w:rFonts w:ascii="Georgia" w:cs="Georgia" w:eastAsia="Georgia" w:hAnsi="Georgia"/>
          <w:color w:val="1A1A1A"/>
          <w:sz w:val="22"/>
          <w:szCs w:val="22"/>
        </w:rPr>
        <w:t xml:space="preserve">The library backstop assumes libraries can serve substantially expanded civic engagement loads. Current library systems are often underfunded, understaffed, and lack the digital infrastructure assumed by the integrated argument. The Public Spaces component of v2.3's Civic Infrastructure framing already commits to library investment, but the integrated argument intensifies the requirements: connectivity, terminals, private rooms, staff training, extended hours. Library staffing in particular is a binding constraint — the platform's broader workforce development must include librarian and library assistant pipeline expansion.</w:t>
      </w:r>
    </w:p>
    <w:p>
      <w:pPr>
        <w:pStyle w:val="Heading2"/>
        <w:spacing w:after="160" w:before="360"/>
      </w:pPr>
      <w:r>
        <w:rPr>
          <w:rFonts w:ascii="Arial" w:cs="Arial" w:eastAsia="Arial" w:hAnsi="Arial"/>
          <w:b/>
          <w:bCs/>
          <w:color w:val="1F4E78"/>
          <w:sz w:val="28"/>
          <w:szCs w:val="28"/>
        </w:rPr>
        <w:t xml:space="preserve">Federal Identity Infrastructure as Single Point of Risk</w:t>
      </w:r>
    </w:p>
    <w:p>
      <w:pPr>
        <w:spacing w:after="200" w:line="320"/>
        <w:jc w:val="both"/>
      </w:pPr>
      <w:r>
        <w:rPr>
          <w:rFonts w:ascii="Georgia" w:cs="Georgia" w:eastAsia="Georgia" w:hAnsi="Georgia"/>
          <w:color w:val="1A1A1A"/>
          <w:sz w:val="22"/>
          <w:szCs w:val="22"/>
        </w:rPr>
        <w:t xml:space="preserve">Even with privacy-preserving design, federal identity infrastructure for civic engagement creates a single point of risk. Security breaches, software bugs, denial-of-service attacks, or insider threats could affect all civic platform users simultaneously. The substantiation work must specify resilience architecture: redundancy, diverse authentication options, fallback channels, breach response procedures. International experience shows this is achievable but requires sustained investment.</w:t>
      </w:r>
    </w:p>
    <w:p>
      <w:pPr>
        <w:pStyle w:val="Heading2"/>
        <w:spacing w:after="160" w:before="360"/>
      </w:pPr>
      <w:r>
        <w:rPr>
          <w:rFonts w:ascii="Arial" w:cs="Arial" w:eastAsia="Arial" w:hAnsi="Arial"/>
          <w:b/>
          <w:bCs/>
          <w:color w:val="1F4E78"/>
          <w:sz w:val="28"/>
          <w:szCs w:val="28"/>
        </w:rPr>
        <w:t xml:space="preserve">Political Risk to Platform Continuity</w:t>
      </w:r>
    </w:p>
    <w:p>
      <w:pPr>
        <w:spacing w:after="200" w:line="320"/>
        <w:jc w:val="both"/>
      </w:pPr>
      <w:r>
        <w:rPr>
          <w:rFonts w:ascii="Georgia" w:cs="Georgia" w:eastAsia="Georgia" w:hAnsi="Georgia"/>
          <w:color w:val="1A1A1A"/>
          <w:sz w:val="22"/>
          <w:szCs w:val="22"/>
        </w:rPr>
        <w:t xml:space="preserve">A federal civic communication platform built under one administration could be modified, weakened, or repurposed under another. Future administrations could expand surveillance access, weaken privacy protections, or convert the platform into a propaganda vector. The substantiation work must specify statutory protections (preferably constitutional) that constrain future administrations from converting the platform into something different. This is a real risk that good design alone cannot eliminate; legal and political durability matters.</w:t>
      </w:r>
    </w:p>
    <w:p>
      <w:pPr>
        <w:pStyle w:val="Heading2"/>
        <w:spacing w:after="160" w:before="360"/>
      </w:pPr>
      <w:r>
        <w:rPr>
          <w:rFonts w:ascii="Arial" w:cs="Arial" w:eastAsia="Arial" w:hAnsi="Arial"/>
          <w:b/>
          <w:bCs/>
          <w:color w:val="1F4E78"/>
          <w:sz w:val="28"/>
          <w:szCs w:val="28"/>
        </w:rPr>
        <w:t xml:space="preserve">International Comparators May Not Translate Directly</w:t>
      </w:r>
    </w:p>
    <w:p>
      <w:pPr>
        <w:spacing w:after="200" w:line="320"/>
        <w:jc w:val="both"/>
      </w:pPr>
      <w:r>
        <w:rPr>
          <w:rFonts w:ascii="Georgia" w:cs="Georgia" w:eastAsia="Georgia" w:hAnsi="Georgia"/>
          <w:color w:val="1A1A1A"/>
          <w:sz w:val="22"/>
          <w:szCs w:val="22"/>
        </w:rPr>
        <w:t xml:space="preserve">Estonia, Singapore, and the Nordic countries are smaller than the US, more demographically homogeneous in some respects, and have different political traditions. What works there may not translate identically to a country with 330 million people, 50 states with substantial constitutional autonomy, and deep distrust of centralized government across multiple political coalitions. The substantiation work should learn from international comparators without assuming identical implementations will produce identical results.</w:t>
      </w:r>
    </w:p>
    <w:p>
      <w:pPr>
        <w:pStyle w:val="Heading2"/>
        <w:spacing w:after="160" w:before="360"/>
      </w:pPr>
      <w:r>
        <w:rPr>
          <w:rFonts w:ascii="Arial" w:cs="Arial" w:eastAsia="Arial" w:hAnsi="Arial"/>
          <w:b/>
          <w:bCs/>
          <w:color w:val="1F4E78"/>
          <w:sz w:val="28"/>
          <w:szCs w:val="28"/>
        </w:rPr>
        <w:t xml:space="preserve">Retail Tax Prep Industry Lobbying</w:t>
      </w:r>
    </w:p>
    <w:p>
      <w:pPr>
        <w:spacing w:after="200" w:line="320"/>
        <w:jc w:val="both"/>
      </w:pPr>
      <w:r>
        <w:rPr>
          <w:rFonts w:ascii="Georgia" w:cs="Georgia" w:eastAsia="Georgia" w:hAnsi="Georgia"/>
          <w:color w:val="1A1A1A"/>
          <w:sz w:val="22"/>
          <w:szCs w:val="22"/>
        </w:rPr>
        <w:t xml:space="preserve">The tax preparation industry's $40 million per decade lobbying budget will not disappear just because the platform proposes return-free filing. Industry will mount substantial political opposition, including efforts to portray the proposal as IRS overreach, to fund opposition candidates, to lobby individual legislators, to litigate against implementation. The substantiation work should expect political opposition proportional to industry stakes — substantial — and plan accordingly. International experience suggests this is winnable but not easy.</w:t>
      </w:r>
    </w:p>
    <w:p>
      <w:pPr>
        <w:pStyle w:val="Heading2"/>
        <w:spacing w:after="160" w:before="360"/>
      </w:pPr>
      <w:r>
        <w:rPr>
          <w:rFonts w:ascii="Arial" w:cs="Arial" w:eastAsia="Arial" w:hAnsi="Arial"/>
          <w:b/>
          <w:bCs/>
          <w:color w:val="1F4E78"/>
          <w:sz w:val="28"/>
          <w:szCs w:val="28"/>
        </w:rPr>
        <w:t xml:space="preserve">Civil Liberties Concerns Will Be Raised in Bad Faith</w:t>
      </w:r>
    </w:p>
    <w:p>
      <w:pPr>
        <w:spacing w:after="200" w:line="320"/>
        <w:jc w:val="both"/>
      </w:pPr>
      <w:r>
        <w:rPr>
          <w:rFonts w:ascii="Georgia" w:cs="Georgia" w:eastAsia="Georgia" w:hAnsi="Georgia"/>
          <w:color w:val="1A1A1A"/>
          <w:sz w:val="22"/>
          <w:szCs w:val="22"/>
        </w:rPr>
        <w:t>Some civil liberties concerns about the integrated argument are genuine and deserve serious treatment. Other concerns will be raised in bad faith by opponents whose actual objections are different (industry incumbents, ideological opponents of federal modernization, foreign actors interested in continued US Civic Infrastructure dysfunction). The substantiation work must distinguish genuine concerns (which require design responses) from bad-faith concerns (which require political response). Both types will be raised; the platform must engage with each appropriately.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“Trust accumulation is the bottleneck, not technical capability. The substantiation must plan for slower adoption while quality builds, design for skeptics rather than evangelists, and exceed strictly-necessary privacy protections.”</w:t>
            </w:r>
          </w:p>
        </w:tc>
      </w:tr>
    </w:tbl>
    <w:p>
      <w:r>
        <w:br w:type="page"/>
      </w:r>
    </w:p>
    <w:p>
      <w:pPr>
        <w:pStyle w:val="Heading1"/>
        <w:spacing w:after="240" w:before="480"/>
      </w:pPr>
      <w:r>
        <w:rPr>
          <w:rFonts w:ascii="Arial" w:cs="Arial" w:eastAsia="Arial" w:hAnsi="Arial"/>
          <w:b/>
          <w:bCs/>
          <w:color w:val="1F4E78"/>
          <w:sz w:val="36"/>
          <w:szCs w:val="36"/>
        </w:rPr>
        <w:t xml:space="preserve">Decision and Next Steps</w:t>
      </w:r>
    </w:p>
    <w:p>
      <w:pPr>
        <w:spacing w:after="240" w:line="340"/>
        <w:jc w:val="both"/>
      </w:pPr>
      <w:r>
        <w:rPr>
          <w:rFonts w:ascii="Georgia" w:cs="Georgia" w:eastAsia="Georgia" w:hAnsi="Georgia"/>
          <w:color w:val="1A1A1A"/>
          <w:sz w:val="24"/>
          <w:szCs w:val="24"/>
        </w:rPr>
        <w:t xml:space="preserve">This document establishes the integrated argument and supports two specific decisions in the platform's continued development: which broadband path to commit to (Path A becomes substantially stronger under the integrated argument), and what scope the eventual Civic Technology component substantiation should cover.</w:t>
      </w:r>
    </w:p>
    <w:p>
      <w:pPr>
        <w:pStyle w:val="Heading2"/>
        <w:spacing w:after="160" w:before="360"/>
      </w:pPr>
      <w:r>
        <w:rPr>
          <w:rFonts w:ascii="Arial" w:cs="Arial" w:eastAsia="Arial" w:hAnsi="Arial"/>
          <w:b/>
          <w:bCs/>
          <w:color w:val="1F4E78"/>
          <w:sz w:val="28"/>
          <w:szCs w:val="28"/>
        </w:rPr>
        <w:t xml:space="preserve">Implications for the Broadband Path Decision</w:t>
      </w:r>
    </w:p>
    <w:p>
      <w:pPr>
        <w:spacing w:after="200" w:line="320"/>
        <w:jc w:val="both"/>
      </w:pPr>
      <w:r>
        <w:rPr>
          <w:rFonts w:ascii="Georgia" w:cs="Georgia" w:eastAsia="Georgia" w:hAnsi="Georgia"/>
          <w:color w:val="1A1A1A"/>
          <w:sz w:val="22"/>
          <w:szCs w:val="22"/>
        </w:rPr>
        <w:t xml:space="preserve">The Two Paths Compared analysis demonstrated that Path A (free universal basic broadband) and Path B (universal access plus affordability subsidy) both fit within the platform's funding envelope but differ substantially in coverage outcome and cross-pillar enabling. Under the integrated argument, the case for Path A becomes substantially stronger: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Why integrated argument tilts the broadband decision toward Path A</w:t>
            </w:r>
          </w:p>
          <w:p>
            <w:pPr>
              <w:spacing w:after="100" w:line="280"/>
            </w:pPr>
            <w:r>
              <w:rPr>
                <w:rFonts w:ascii="Georgia" w:cs="Georgia" w:eastAsia="Georgia" w:hAnsi="Georgia"/>
                <w:color w:val="1A1A1A"/>
                <w:sz w:val="21"/>
                <w:szCs w:val="21"/>
              </w:rPr>
              <w:t xml:space="preserve">•  The civic platform's universality requires the broadband universality. Path B's 12% effective coverage gap means civic platform reaches less of the population.</w:t>
            </w:r>
          </w:p>
          <w:p>
            <w:pPr>
              <w:spacing w:after="100" w:line="280"/>
            </w:pPr>
            <w:r>
              <w:rPr>
                <w:rFonts w:ascii="Georgia" w:cs="Georgia" w:eastAsia="Georgia" w:hAnsi="Georgia"/>
                <w:color w:val="1A1A1A"/>
                <w:sz w:val="21"/>
                <w:szCs w:val="21"/>
              </w:rPr>
              <w:t xml:space="preserve">•  Return-free filing's digital delivery requires connectivity. Path B's coverage gap concentrates in low-income households — exactly the population for whom return-free filing eliminates the most friction.</w:t>
            </w:r>
          </w:p>
          <w:p>
            <w:pPr>
              <w:spacing w:after="100" w:line="280"/>
            </w:pPr>
            <w:r>
              <w:rPr>
                <w:rFonts w:ascii="Georgia" w:cs="Georgia" w:eastAsia="Georgia" w:hAnsi="Georgia"/>
                <w:color w:val="1A1A1A"/>
                <w:sz w:val="21"/>
                <w:szCs w:val="21"/>
              </w:rPr>
              <w:t xml:space="preserve">•  The library backstop helps but doesn't substitute for home connectivity. Path B's coverage gap means more citizens dependent on library access for essential civic engagement, straining library resources.</w:t>
            </w:r>
          </w:p>
          <w:p>
            <w:pPr>
              <w:spacing w:after="100" w:line="280"/>
            </w:pPr>
            <w:r>
              <w:rPr>
                <w:rFonts w:ascii="Georgia" w:cs="Georgia" w:eastAsia="Georgia" w:hAnsi="Georgia"/>
                <w:color w:val="1A1A1A"/>
                <w:sz w:val="21"/>
                <w:szCs w:val="21"/>
              </w:rPr>
              <w:t xml:space="preserve">•  The combined civic engagement modernization is only credible as 'universal' if connectivity is structurally universal, not subsidy-dependent.</w:t>
            </w:r>
          </w:p>
          <w:p>
            <w:pPr>
              <w:spacing w:after="100" w:line="280"/>
            </w:pPr>
            <w:r>
              <w:rPr>
                <w:rFonts w:ascii="Georgia" w:cs="Georgia" w:eastAsia="Georgia" w:hAnsi="Georgia"/>
                <w:color w:val="1A1A1A"/>
                <w:sz w:val="21"/>
                <w:szCs w:val="21"/>
              </w:rPr>
              <w:t xml:space="preserve">•  Path A's $50B/yr federal cost is approximately equal to citizen savings from return-free filing alone (~$30B) plus civic platform efficiency (~$15B) — the integrated argument substantially absorbs Path A's higher federal cost through citizen-side savings.</w:t>
            </w:r>
          </w:p>
        </w:tc>
      </w:tr>
    </w:tbl>
    <w:p>
      <w:pPr>
        <w:spacing w:after="200" w:line="320"/>
        <w:jc w:val="both"/>
      </w:pPr>
      <w:r>
        <w:rPr>
          <w:rFonts w:ascii="Georgia" w:cs="Georgia" w:eastAsia="Georgia" w:hAnsi="Georgia"/>
          <w:color w:val="1A1A1A"/>
          <w:sz w:val="22"/>
          <w:szCs w:val="22"/>
        </w:rPr>
        <w:t xml:space="preserve">The integrated argument doesn't make Path A automatic; the platform's author retains authority over the structural decision. But the case for Path A is materially strengthened. Under the integrated argument, Path B becomes substantially harder to defend because its coverage gap directly compromises the modernization commitment's universality.</w:t>
      </w:r>
    </w:p>
    <w:p>
      <w:pPr>
        <w:pStyle w:val="Heading2"/>
        <w:spacing w:after="160" w:before="360"/>
      </w:pPr>
      <w:r>
        <w:rPr>
          <w:rFonts w:ascii="Arial" w:cs="Arial" w:eastAsia="Arial" w:hAnsi="Arial"/>
          <w:b/>
          <w:bCs/>
          <w:color w:val="1F4E78"/>
          <w:sz w:val="28"/>
          <w:szCs w:val="28"/>
        </w:rPr>
        <w:t xml:space="preserve">Scope for Civic Technology Component Substantiation</w:t>
      </w:r>
    </w:p>
    <w:p>
      <w:pPr>
        <w:spacing w:after="200" w:line="320"/>
        <w:jc w:val="both"/>
      </w:pPr>
      <w:r>
        <w:rPr>
          <w:rFonts w:ascii="Georgia" w:cs="Georgia" w:eastAsia="Georgia" w:hAnsi="Georgia"/>
          <w:color w:val="1A1A1A"/>
          <w:sz w:val="22"/>
          <w:szCs w:val="22"/>
        </w:rPr>
        <w:t xml:space="preserve">The eventual Civic Technology component substantiation work (likely v2.5 or later, after Universal Broadband Access Substantiation in v2.4) should include the following scope based on this analytical framing:</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Civic Technology component substantiation scope</w:t>
            </w:r>
          </w:p>
          <w:p>
            <w:pPr>
              <w:spacing w:after="100" w:line="280"/>
            </w:pPr>
            <w:r>
              <w:rPr>
                <w:rFonts w:ascii="Georgia" w:cs="Georgia" w:eastAsia="Georgia" w:hAnsi="Georgia"/>
                <w:color w:val="1A1A1A"/>
                <w:sz w:val="21"/>
                <w:szCs w:val="21"/>
              </w:rPr>
              <w:t xml:space="preserve">•  Federal civic communication platform: detailed architecture, authentication design, security architecture, governance structure, deployment timeline, cost projection.</w:t>
            </w:r>
          </w:p>
          <w:p>
            <w:pPr>
              <w:spacing w:after="100" w:line="280"/>
            </w:pPr>
            <w:r>
              <w:rPr>
                <w:rFonts w:ascii="Georgia" w:cs="Georgia" w:eastAsia="Georgia" w:hAnsi="Georgia"/>
                <w:color w:val="1A1A1A"/>
                <w:sz w:val="21"/>
                <w:szCs w:val="21"/>
              </w:rPr>
              <w:t xml:space="preserve">•  Return-free tax filing: implementation specification, IRS modernization requirements, citizen experience design, complex return handling, industry transition plan.</w:t>
            </w:r>
          </w:p>
          <w:p>
            <w:pPr>
              <w:spacing w:after="100" w:line="280"/>
            </w:pPr>
            <w:r>
              <w:rPr>
                <w:rFonts w:ascii="Georgia" w:cs="Georgia" w:eastAsia="Georgia" w:hAnsi="Georgia"/>
                <w:color w:val="1A1A1A"/>
                <w:sz w:val="21"/>
                <w:szCs w:val="21"/>
              </w:rPr>
              <w:t xml:space="preserve">•  Federal identity infrastructure: privacy-preserving design, federation architecture, integration with existing Login.gov, agency adoption timeline.</w:t>
            </w:r>
          </w:p>
          <w:p>
            <w:pPr>
              <w:spacing w:after="100" w:line="280"/>
            </w:pPr>
            <w:r>
              <w:rPr>
                <w:rFonts w:ascii="Georgia" w:cs="Georgia" w:eastAsia="Georgia" w:hAnsi="Georgia"/>
                <w:color w:val="1A1A1A"/>
                <w:sz w:val="21"/>
                <w:szCs w:val="21"/>
              </w:rPr>
              <w:t xml:space="preserve">•  Civil liberties audit function: governance design, statutory authority, reporting structure, rollback procedures.</w:t>
            </w:r>
          </w:p>
          <w:p>
            <w:pPr>
              <w:spacing w:after="100" w:line="280"/>
            </w:pPr>
            <w:r>
              <w:rPr>
                <w:rFonts w:ascii="Georgia" w:cs="Georgia" w:eastAsia="Georgia" w:hAnsi="Georgia"/>
                <w:color w:val="1A1A1A"/>
                <w:sz w:val="21"/>
                <w:szCs w:val="21"/>
              </w:rPr>
              <w:t xml:space="preserve">•  Library connectivity and capability: integration with Public Spaces component, librarian workforce expansion, terminal and private room standards.</w:t>
            </w:r>
          </w:p>
          <w:p>
            <w:pPr>
              <w:spacing w:after="100" w:line="280"/>
            </w:pPr>
            <w:r>
              <w:rPr>
                <w:rFonts w:ascii="Georgia" w:cs="Georgia" w:eastAsia="Georgia" w:hAnsi="Georgia"/>
                <w:color w:val="1A1A1A"/>
                <w:sz w:val="21"/>
                <w:szCs w:val="21"/>
              </w:rPr>
              <w:t>•  Cross-pillar integration plans: specific integration points with Healthcare, Education, Childcare, Mental Health, Retirement, and wage floor pillars.</w:t>
            </w:r>
          </w:p>
          <w:p>
            <w:pPr>
              <w:spacing w:after="100" w:line="280"/>
            </w:pPr>
            <w:r>
              <w:rPr>
                <w:rFonts w:ascii="Georgia" w:cs="Georgia" w:eastAsia="Georgia" w:hAnsi="Georgia"/>
                <w:color w:val="1A1A1A"/>
                <w:sz w:val="21"/>
                <w:szCs w:val="21"/>
              </w:rPr>
              <w:t xml:space="preserve">•  Stress tests: security breach response, federal political transitions, industry opposition, implementation failure modes.</w:t>
            </w:r>
          </w:p>
          <w:p>
            <w:pPr>
              <w:spacing w:after="100" w:line="280"/>
            </w:pPr>
            <w:r>
              <w:rPr>
                <w:rFonts w:ascii="Georgia" w:cs="Georgia" w:eastAsia="Georgia" w:hAnsi="Georgia"/>
                <w:color w:val="1A1A1A"/>
                <w:sz w:val="21"/>
                <w:szCs w:val="21"/>
              </w:rPr>
              <w:t xml:space="preserve">•  Statutory and constitutional protections: specific legislative language for free speech, privacy, federation, judicial oversight, civil liberties audit.</w:t>
            </w:r>
          </w:p>
        </w:tc>
      </w:tr>
    </w:tbl>
    <w:p>
      <w:pPr>
        <w:pStyle w:val="Heading2"/>
        <w:spacing w:after="160" w:before="360"/>
      </w:pPr>
      <w:r>
        <w:rPr>
          <w:rFonts w:ascii="Arial" w:cs="Arial" w:eastAsia="Arial" w:hAnsi="Arial"/>
          <w:b/>
          <w:bCs/>
          <w:color w:val="1F4E78"/>
          <w:sz w:val="28"/>
          <w:szCs w:val="28"/>
        </w:rPr>
        <w:t xml:space="preserve">Sequencing in the Platform</w:t>
      </w:r>
    </w:p>
    <w:p>
      <w:pPr>
        <w:spacing w:after="200" w:line="320"/>
        <w:jc w:val="both"/>
      </w:pPr>
      <w:r>
        <w:rPr>
          <w:rFonts w:ascii="Georgia" w:cs="Georgia" w:eastAsia="Georgia" w:hAnsi="Georgia"/>
          <w:color w:val="1A1A1A"/>
          <w:sz w:val="22"/>
          <w:szCs w:val="22"/>
        </w:rPr>
        <w:t xml:space="preserve">The integrated argument doesn't require immediate substantiation of all components. The natural sequence:</w:t>
      </w:r>
    </w:p>
    <w:p>
      <w:pPr>
        <w:spacing w:after="200" w:line="320"/>
        <w:jc w:val="both"/>
      </w:pPr>
      <w:r>
        <w:rPr>
          <w:rFonts w:ascii="Georgia" w:cs="Georgia" w:eastAsia="Georgia" w:hAnsi="Georgia"/>
          <w:b/>
          <w:bCs/>
          <w:sz w:val="22"/>
          <w:szCs w:val="22"/>
        </w:rPr>
        <w:t xml:space="preserve">v2.3 (current). </w:t>
      </w:r>
      <w:r>
        <w:rPr>
          <w:rFonts w:ascii="Georgia" w:cs="Georgia" w:eastAsia="Georgia" w:hAnsi="Georgia"/>
          <w:color w:val="1A1A1A"/>
          <w:sz w:val="22"/>
          <w:szCs w:val="22"/>
        </w:rPr>
        <w:t xml:space="preserve">Civic Infrastructure pillar architectural framing complete. Six components established at concept/architecture level.</w:t>
      </w:r>
    </w:p>
    <w:p>
      <w:pPr>
        <w:spacing w:after="200" w:line="320"/>
        <w:jc w:val="both"/>
      </w:pPr>
      <w:r>
        <w:rPr>
          <w:rFonts w:ascii="Georgia" w:cs="Georgia" w:eastAsia="Georgia" w:hAnsi="Georgia"/>
          <w:b/>
          <w:bCs/>
          <w:sz w:val="22"/>
          <w:szCs w:val="22"/>
        </w:rPr>
        <w:t xml:space="preserve">v2.4 (next). </w:t>
      </w:r>
      <w:r>
        <w:rPr>
          <w:rFonts w:ascii="Georgia" w:cs="Georgia" w:eastAsia="Georgia" w:hAnsi="Georgia"/>
          <w:color w:val="1A1A1A"/>
          <w:sz w:val="22"/>
          <w:szCs w:val="22"/>
        </w:rPr>
        <w:t xml:space="preserve">Universal Broadband Access Substantiation. Decision on Path A vs Path B operationalized with full implementation analysis. The integrated argument informs but doesn't drive this version's scope.</w:t>
      </w:r>
    </w:p>
    <w:p>
      <w:pPr>
        <w:spacing w:after="200" w:line="320"/>
        <w:jc w:val="both"/>
      </w:pPr>
      <w:r>
        <w:rPr>
          <w:rFonts w:ascii="Georgia" w:cs="Georgia" w:eastAsia="Georgia" w:hAnsi="Georgia"/>
          <w:b/>
          <w:bCs/>
          <w:sz w:val="22"/>
          <w:szCs w:val="22"/>
        </w:rPr>
        <w:t xml:space="preserve">v2.5 or later. </w:t>
      </w:r>
      <w:r>
        <w:rPr>
          <w:rFonts w:ascii="Georgia" w:cs="Georgia" w:eastAsia="Georgia" w:hAnsi="Georgia"/>
          <w:color w:val="1A1A1A"/>
          <w:sz w:val="22"/>
          <w:szCs w:val="22"/>
        </w:rPr>
        <w:t xml:space="preserve">Civic Technology component substantiation, scoped per the integrated argument. Federal civic communication platform, return-free tax filing, federal identity infrastructure, civil liberties architecture all addressed substantively.</w:t>
      </w:r>
    </w:p>
    <w:p>
      <w:pPr>
        <w:spacing w:after="200" w:line="320"/>
        <w:jc w:val="both"/>
      </w:pPr>
      <w:r>
        <w:rPr>
          <w:rFonts w:ascii="Georgia" w:cs="Georgia" w:eastAsia="Georgia" w:hAnsi="Georgia"/>
          <w:b/>
          <w:bCs/>
          <w:sz w:val="22"/>
          <w:szCs w:val="22"/>
        </w:rPr>
        <w:t xml:space="preserve">Subsequent versions. </w:t>
      </w:r>
      <w:r>
        <w:rPr>
          <w:rFonts w:ascii="Georgia" w:cs="Georgia" w:eastAsia="Georgia" w:hAnsi="Georgia"/>
          <w:color w:val="1A1A1A"/>
          <w:sz w:val="22"/>
          <w:szCs w:val="22"/>
        </w:rPr>
        <w:t xml:space="preserve">Other Civic Infrastructure components (Water and Sewer, Transportation, Energy Grid, Public Spaces) substantiated in priority order. Public Spaces substantiation incorporates the library backstop architecture established in this framing document.</w:t>
      </w:r>
    </w:p>
    <w:p>
      <w:pPr>
        <w:pStyle w:val="Heading2"/>
        <w:spacing w:after="160" w:before="360"/>
      </w:pPr>
      <w:r>
        <w:rPr>
          <w:rFonts w:ascii="Arial" w:cs="Arial" w:eastAsia="Arial" w:hAnsi="Arial"/>
          <w:b/>
          <w:bCs/>
          <w:color w:val="1F4E78"/>
          <w:sz w:val="28"/>
          <w:szCs w:val="28"/>
        </w:rPr>
        <w:t xml:space="preserve">How This Document Functions in the Platform</w:t>
      </w:r>
    </w:p>
    <w:p>
      <w:pPr>
        <w:spacing w:after="200" w:line="320"/>
        <w:jc w:val="both"/>
      </w:pPr>
      <w:r>
        <w:rPr>
          <w:rFonts w:ascii="Georgia" w:cs="Georgia" w:eastAsia="Georgia" w:hAnsi="Georgia"/>
          <w:color w:val="1A1A1A"/>
          <w:sz w:val="22"/>
          <w:szCs w:val="22"/>
        </w:rPr>
        <w:t xml:space="preserve">This document is an analytical framing document parallel to the Two Paths Compared, the Refundable Transition Bridge Credit, and the Free Universal Broadband Cost Analysis. Like those documents, it articulates a structural decision the platform faces, presents the analysis supporting it, and identifies what substantiation work follows. It doesn't change v2.3's framing directly; it informs subsequent platform versions that will substantiate the components it addresses.</w:t>
      </w:r>
    </w:p>
    <w:p>
      <w:pPr>
        <w:spacing w:after="200" w:line="320"/>
        <w:jc w:val="both"/>
      </w:pPr>
      <w:r>
        <w:rPr>
          <w:rFonts w:ascii="Georgia" w:cs="Georgia" w:eastAsia="Georgia" w:hAnsi="Georgia"/>
          <w:color w:val="1A1A1A"/>
          <w:sz w:val="22"/>
          <w:szCs w:val="22"/>
        </w:rPr>
        <w:t>The integrated argument doesn't require immediate adoption to inform the platform's continued development. Even if the platform proceeds with v2.4 broadband substantiation under either path and defers Civic Technology substantiation, this document provides the analytical foundation for those subsequent decisions. The argument exists; the framing is captured; the substantiation work has clearer scope; the decisions ahead are better-informed.</w:t>
      </w:r>
    </w:p>
    <w:p>
      <w:pPr>
        <w:pStyle w:val="Heading2"/>
        <w:spacing w:after="160" w:before="360"/>
      </w:pPr>
      <w:r>
        <w:rPr>
          <w:rFonts w:ascii="Arial" w:cs="Arial" w:eastAsia="Arial" w:hAnsi="Arial"/>
          <w:b/>
          <w:bCs/>
          <w:color w:val="1F4E78"/>
          <w:sz w:val="28"/>
          <w:szCs w:val="28"/>
        </w:rPr>
        <w:t xml:space="preserve">The Closing Reflection</w:t>
      </w:r>
    </w:p>
    <w:p>
      <w:pPr>
        <w:spacing w:after="200" w:line="320"/>
        <w:jc w:val="both"/>
      </w:pPr>
      <w:r>
        <w:rPr>
          <w:rFonts w:ascii="Georgia" w:cs="Georgia" w:eastAsia="Georgia" w:hAnsi="Georgia"/>
          <w:color w:val="1A1A1A"/>
          <w:sz w:val="22"/>
          <w:szCs w:val="22"/>
        </w:rPr>
        <w:t xml:space="preserve">The platform's commitment throughout has been to take serious questions seriously, engage with substantive challenges, articulate specific responses, and acknowledge what remains unresolved. The integrated argument is the latest expansion of that pattern. A citizen-originated question (‘how can universal internet access be guaranteed everywhere in America?’) led to the Civic Infrastructure pillar's architectural framing in v2.3, which led to Universal Broadband Cost Analysis in v2.4 preparation, which led to the Two Paths Compared structural decision document, which now leads to the integrated civic engagement modernization argument.</w:t>
      </w:r>
    </w:p>
    <w:p>
      <w:pPr>
        <w:spacing w:after="200" w:line="320"/>
        <w:jc w:val="both"/>
      </w:pPr>
      <w:r>
        <w:rPr>
          <w:rFonts w:ascii="Georgia" w:cs="Georgia" w:eastAsia="Georgia" w:hAnsi="Georgia"/>
          <w:color w:val="1A1A1A"/>
          <w:sz w:val="22"/>
          <w:szCs w:val="22"/>
        </w:rPr>
        <w:t>Each step builds on the previous. Each step expands the platform's coherence rather than complicating it. The platform was always going to need a substantive answer for Civic Technology, identity infrastructure, return-free filing, and citizen-government interaction modernization. The integrated argument articulates that answer now, while it's clear in the platform's author's thinking, with the supporting analysis to make the substantiation work feasible when its time comes.</w:t>
      </w:r>
    </w:p>
    <w:p>
      <w:pPr>
        <w:spacing w:after="200" w:line="320"/>
        <w:jc w:val="both"/>
      </w:pPr>
      <w:r>
        <w:rPr>
          <w:rFonts w:ascii="Georgia" w:cs="Georgia" w:eastAsia="Georgia" w:hAnsi="Georgia"/>
          <w:color w:val="1A1A1A"/>
          <w:sz w:val="22"/>
          <w:szCs w:val="22"/>
        </w:rPr>
        <w:t xml:space="preserve">America has the broadband infrastructure capacity to be universally connected. America has the data and computational capability to deliver pre-filled tax returns. America has the engineering talent and institutional knowledge to build a federal civic communication platform that respects privacy and civil liberties while serving citizens. What America has lacked is the political will to consolidate these capabilities into a coherent commitment. The platform's commitment is to provide that consolidation, with the analytical work demonstrating both feasibility and the structural choices required.</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“America has the capacity. America has the data. America has the engineering talent. What America has lacked is the political will to consolidate these capabilities. The platform's commitment is to provide that consolidation.”</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Civic Engagement Modernization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Modernize American Civic Engagement: An Integrated Argument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Modernize American Civic Engagement: An Integrated Argument</dc:title>
  <dc:creator>Jason Robertson</dc:creator>
  <cp:lastModifiedBy>Un-named</cp:lastModifiedBy>
  <cp:revision>1</cp:revision>
  <dcterms:created xsi:type="dcterms:W3CDTF">2026-05-04T23:11:02.303Z</dcterms:created>
  <dcterms:modified xsi:type="dcterms:W3CDTF">2026-05-04T23:11:02.318Z</dcterms:modified>
</cp:coreProperties>
</file>

<file path=docProps/custom.xml><?xml version="1.0" encoding="utf-8"?>
<Properties xmlns="http://schemas.openxmlformats.org/officeDocument/2006/custom-properties" xmlns:vt="http://schemas.openxmlformats.org/officeDocument/2006/docPropsVTypes"/>
</file>