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0"/>
          <w:szCs w:val="50"/>
        </w:rPr>
        <w:t xml:space="preserve">HEALTHCARE TRANSITION</w:t>
      </w:r>
    </w:p>
    <w:p>
      <w:pPr>
        <w:spacing w:after="200"/>
        <w:jc w:val="center"/>
      </w:pPr>
      <w:r>
        <w:rPr>
          <w:rFonts w:ascii="Arial" w:cs="Arial" w:eastAsia="Arial" w:hAnsi="Arial"/>
          <w:b/>
          <w:bCs/>
          <w:color w:val="1F4E78"/>
          <w:sz w:val="50"/>
          <w:szCs w:val="50"/>
        </w:rPr>
        <w:t xml:space="preserve">DETAILED PLAN</w:t>
      </w:r>
    </w:p>
    <w:p>
      <w:pPr>
        <w:spacing w:after="200"/>
        <w:jc w:val="center"/>
      </w:pPr>
      <w:r>
        <w:rPr>
          <w:rFonts w:ascii="Arial" w:cs="Arial" w:eastAsia="Arial" w:hAnsi="Arial"/>
          <w:i/>
          <w:iCs/>
          <w:color w:val="C00000"/>
          <w:sz w:val="26"/>
          <w:szCs w:val="26"/>
        </w:rPr>
        <w:t>How $1.7 Trillion in Annual Savings Becomes Reality  (Source baseline: see Sources_And_Derivation_Convention.docx.)</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the savings cost in human and economic terms,</w:t>
      </w:r>
    </w:p>
    <w:p>
      <w:pPr>
        <w:spacing w:after="200"/>
        <w:jc w:val="center"/>
      </w:pPr>
      <w:r>
        <w:rPr>
          <w:rFonts w:ascii="Georgia" w:cs="Georgia" w:eastAsia="Georgia" w:hAnsi="Georgia"/>
          <w:i/>
          <w:iCs/>
          <w:color w:val="1A1A1A"/>
          <w:sz w:val="24"/>
          <w:szCs w:val="24"/>
        </w:rPr>
        <w:t xml:space="preserve">how the transition can be designed to absorb those costs honestly,</w:t>
      </w:r>
    </w:p>
    <w:p>
      <w:pPr>
        <w:spacing w:after="1200"/>
        <w:jc w:val="center"/>
      </w:pPr>
      <w:r>
        <w:rPr>
          <w:rFonts w:ascii="Georgia" w:cs="Georgia" w:eastAsia="Georgia" w:hAnsi="Georgia"/>
          <w:i/>
          <w:iCs/>
          <w:color w:val="1A1A1A"/>
          <w:sz w:val="24"/>
          <w:szCs w:val="24"/>
        </w:rPr>
        <w:t xml:space="preserve">and what political opposition the platform must overcome.</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v1.2  ·  Created May 4, 2026  ·  Updated May 6, 2026 for v2.21 (Covered Services Scope section added)  ·  Updated May 6, 2026 for v2.30.29 (RESEARCH-4 cost reduction decomposition framework)</w:t>
      </w:r>
    </w:p>
    <w:p>
      <w:pPr>
        <w:jc w:val="center"/>
      </w:pPr>
      <w:r>
        <w:rPr>
          <w:rFonts w:ascii="Georgia" w:cs="Georgia" w:eastAsia="Georgia" w:hAnsi="Georgia"/>
          <w:color w:val="595959"/>
          <w:sz w:val="20"/>
          <w:szCs w:val="20"/>
        </w:rPr>
        <w:t xml:space="preserve">Ohio  ·  2026</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CMS National Health Expenditure data 2023 (the $14,612 per-capita baseline; aggregate healthcare spending; payer breakdowns); KFF employer health benefits surveys (employer-sponsored insurance premium baselines and employee contributions); BLS data for healthcare workforce projections. The $1.7 trillion annual savings figure cited throughout is derivational from the per-capita reduction target ($14,612 minus $9,500 multiplied by population), per the FFIA healthcare stream.</w:t>
      </w:r>
    </w:p>
    <w:p>
      <w:pPr>
        <w:pStyle w:val="Heading1"/>
        <w:spacing w:after="240" w:before="480"/>
      </w:pPr>
      <w:r>
        <w:rPr>
          <w:rFonts w:ascii="Arial" w:cs="Arial" w:eastAsia="Arial" w:hAnsi="Arial"/>
          <w:b/>
          <w:bCs/>
          <w:color w:val="1F4E78"/>
          <w:sz w:val="36"/>
          <w:szCs w:val="36"/>
        </w:rPr>
        <w:t xml:space="preserve">The Problem This Document Addresses</w:t>
      </w:r>
    </w:p>
    <w:p>
      <w:pPr>
        <w:spacing w:after="240" w:line="340"/>
        <w:jc w:val="both"/>
      </w:pPr>
      <w:r>
        <w:rPr>
          <w:rFonts w:ascii="Georgia" w:cs="Georgia" w:eastAsia="Georgia" w:hAnsi="Georgia"/>
          <w:color w:val="1A1A1A"/>
          <w:sz w:val="24"/>
          <w:szCs w:val="24"/>
        </w:rPr>
        <w:t>The universal healthcare Model targets $9,500 per capita spending, down from current spending exceeding $14,612 per capita. The math produces approximately $1.7 trillion in annual savings at full implementation. The math also produces an honest acknowledgment: those savings are currently top-line revenue for hospitals, pharmaceutical companies, insurance administrators, and specialist practices. The platform cannot achieve the savings without economic shock to the healthcare sector.  (Source baseline: see Sources_And_Derivation_Convention.docx.)</w:t>
      </w:r>
      <w:r>
        <w:rPr>
          <w:rFonts w:ascii="Georgia" w:cs="Georgia" w:eastAsia="Georgia" w:hAnsi="Georgia"/>
          <w:color w:val="1A1A1A"/>
          <w:sz w:val="24"/>
          <w:szCs w:val="24"/>
        </w:rPr>
        <w:t xml:space="preserve"> (As of the CMS National Health Expenditure 2024 release, per-capita spending has risen further to $15,474, 18.0 percent of GDP; the model retains the $14,612 2023 figure as a conservative baseline, so the $1.7 trillion savings estimate is if anything understated.)</w:t>
      </w:r>
    </w:p>
    <w:p>
      <w:pPr>
        <w:pStyle w:val="Heading2"/>
        <w:spacing w:after="160" w:before="360"/>
      </w:pPr>
      <w:r>
        <w:rPr>
          <w:rFonts w:ascii="Arial" w:cs="Arial" w:eastAsia="Arial" w:hAnsi="Arial"/>
          <w:b/>
          <w:bCs/>
          <w:color w:val="1F4E78"/>
          <w:sz w:val="28"/>
          <w:szCs w:val="28"/>
        </w:rPr>
        <w:t xml:space="preserve">Why This Question Matters</w:t>
      </w:r>
    </w:p>
    <w:p>
      <w:pPr>
        <w:spacing w:after="200" w:line="320"/>
        <w:jc w:val="both"/>
      </w:pPr>
      <w:r>
        <w:rPr>
          <w:rFonts w:ascii="Georgia" w:cs="Georgia" w:eastAsia="Georgia" w:hAnsi="Georgia"/>
          <w:color w:val="1A1A1A"/>
          <w:sz w:val="22"/>
          <w:szCs w:val="22"/>
        </w:rPr>
        <w:t xml:space="preserve">External review of the v1.8 platform package by Gemini identified the healthcare transition as one of the platform's four critical vulnerabilities. The review observed that the medical lobby is the most powerful in Washington and has successfully blocked every comprehensive healthcare reform attempt. It also observed that aggressive cost containment could accelerate rural hospital collapse and force consolidation that harms the people the platform is supposed to serve.</w:t>
      </w:r>
    </w:p>
    <w:p>
      <w:pPr>
        <w:spacing w:after="200" w:line="320"/>
        <w:jc w:val="both"/>
      </w:pPr>
      <w:r>
        <w:rPr>
          <w:rFonts w:ascii="Georgia" w:cs="Georgia" w:eastAsia="Georgia" w:hAnsi="Georgia"/>
          <w:color w:val="1A1A1A"/>
          <w:sz w:val="22"/>
          <w:szCs w:val="22"/>
        </w:rPr>
        <w:t xml:space="preserve">This document responds with a detailed transition plan. The plan acknowledges that opposition from the healthcare industry will exist regardless of how thoughtful the transition design is. The plan also articulates that thoughtful design serves a different purpose: making opposition harder to maintain in good faith. When the opposition's only argument becomes “we want to keep extracting $1.7T per year from American households,” the political dynamic changes. The platform's job is to make that the only argument available to opponents.</w:t>
      </w:r>
    </w:p>
    <w:p>
      <w:pPr>
        <w:pStyle w:val="Heading2"/>
        <w:spacing w:after="160" w:before="360"/>
      </w:pPr>
      <w:r>
        <w:rPr>
          <w:rFonts w:ascii="Arial" w:cs="Arial" w:eastAsia="Arial" w:hAnsi="Arial"/>
          <w:b/>
          <w:bCs/>
          <w:color w:val="1F4E78"/>
          <w:sz w:val="28"/>
          <w:szCs w:val="28"/>
        </w:rPr>
        <w:t xml:space="preserve">The Five Components of the Transition</w:t>
      </w:r>
    </w:p>
    <w:p>
      <w:pPr>
        <w:spacing w:after="200" w:line="320"/>
        <w:jc w:val="both"/>
      </w:pPr>
      <w:r>
        <w:rPr>
          <w:rFonts w:ascii="Georgia" w:cs="Georgia" w:eastAsia="Georgia" w:hAnsi="Georgia"/>
          <w:color w:val="1A1A1A"/>
          <w:sz w:val="22"/>
          <w:szCs w:val="22"/>
        </w:rPr>
        <w:t>The detailed plan has five components, each addressing a specific aspect of the transition that the existing universal healthcare Model documents at a higher level but doesn't fully resolve. The components are: (1) phased savings extraction over 15 years rather than 10; (2) rural hospital protection program; (3) administrative worker transition support; (4) specialist practice transition; and (5) pharmaceutical innovation continuity. Each component is articulated with specific mechanisms and honest acknowledgment of what remains unresolved.</w:t>
      </w:r>
    </w:p>
    <w:p>
      <w:pPr>
        <w:pStyle w:val="Heading2"/>
        <w:spacing w:after="160" w:before="360"/>
      </w:pPr>
      <w:r>
        <w:rPr>
          <w:rFonts w:ascii="Arial" w:cs="Arial" w:eastAsia="Arial" w:hAnsi="Arial"/>
          <w:b/>
          <w:bCs/>
          <w:color w:val="1F4E78"/>
          <w:sz w:val="28"/>
          <w:szCs w:val="28"/>
        </w:rPr>
        <w:t xml:space="preserve">What This Document Is Not</w:t>
      </w:r>
    </w:p>
    <w:p>
      <w:pPr>
        <w:spacing w:after="200" w:line="320"/>
        <w:jc w:val="both"/>
      </w:pPr>
      <w:r>
        <w:rPr>
          <w:rFonts w:ascii="Georgia" w:cs="Georgia" w:eastAsia="Georgia" w:hAnsi="Georgia"/>
          <w:color w:val="1A1A1A"/>
          <w:sz w:val="22"/>
          <w:szCs w:val="22"/>
        </w:rPr>
        <w:t xml:space="preserve">This is not a draft bill, an implementation manual, or a guarantee of political success. It is the architectural framework within which detailed healthcare policy work would occur. The platform's commitment is to articulate the design with enough specificity to be evaluated and refined by healthcare policy specialists, hospital administrators, physician associations, patient advocates, and the various stakeholders the actual implementation would require.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medical lobby will oppose this. The question is whether thoughtful transition design plus broad citizen support is enough to overcome that opposition. The platform's transition design should make opposition harder to maintain in good faith.”</w:t>
            </w:r>
          </w:p>
        </w:tc>
      </w:tr>
    </w:tbl>
    <w:p>
      <w:r>
        <w:br w:type="page"/>
      </w:r>
    </w:p>
    <w:p>
      <w:pPr>
        <w:pStyle w:val="Heading1"/>
        <w:spacing w:after="240" w:before="480"/>
      </w:pPr>
      <w:r>
        <w:rPr>
          <w:rFonts w:ascii="Arial" w:cs="Arial" w:eastAsia="Arial" w:hAnsi="Arial"/>
          <w:b/>
          <w:bCs/>
          <w:color w:val="1F4E78"/>
          <w:sz w:val="36"/>
          <w:szCs w:val="36"/>
        </w:rPr>
        <w:t>Covered Services Scope</w:t>
      </w:r>
    </w:p>
    <w:p>
      <w:pPr>
        <w:spacing w:after="240" w:line="340"/>
        <w:jc w:val="both"/>
      </w:pPr>
      <w:r>
        <w:rPr>
          <w:rFonts w:ascii="Georgia" w:cs="Georgia" w:eastAsia="Georgia" w:hAnsi="Georgia"/>
          <w:color w:val="1A1A1A"/>
          <w:sz w:val="24"/>
          <w:szCs w:val="24"/>
        </w:rPr>
        <w:t>Before describing transition components, this Plan enumerates what the platform's universal healthcare commitment covers. Previous platform documents have stated the commitment models on Germany and Japan but have not explicitly enumerated covered services. This section addresses that ambiguity directly. The per-capita target of $9,500 per person was set above Germany ($8,000 per capita) which already includes the dental and basic vision services described below; this scope is therefore within the existing cost envelope rather than an addition to it.</w:t>
      </w:r>
    </w:p>
    <w:p>
      <w:pPr>
        <w:spacing w:after="240" w:line="340"/>
        <w:jc w:val="both"/>
      </w:pPr>
      <w:r>
        <w:rPr>
          <w:rFonts w:ascii="Georgia" w:cs="Georgia" w:eastAsia="Georgia" w:hAnsi="Georgia"/>
          <w:color w:val="1A1A1A"/>
          <w:sz w:val="24"/>
          <w:szCs w:val="24"/>
        </w:rPr>
        <w:t>Medical care. The platform covers all standard medical services: inpatient hospitalization, outpatient visits, diagnostic services, surgical procedures, preventive care, chronic disease management, maternity care, pediatric care, emergency services, and rehabilitation. This is the core of the universal healthcare commitment and matches the German GKV (Gesetzliche Krankenversicherung) (statutory health insurance) standard.</w:t>
      </w:r>
    </w:p>
    <w:p>
      <w:pPr>
        <w:spacing w:after="240" w:line="340"/>
        <w:jc w:val="both"/>
      </w:pPr>
      <w:r>
        <w:rPr>
          <w:rFonts w:ascii="Georgia" w:cs="Georgia" w:eastAsia="Georgia" w:hAnsi="Georgia"/>
          <w:color w:val="1A1A1A"/>
          <w:sz w:val="24"/>
          <w:szCs w:val="24"/>
        </w:rPr>
        <w:t>Prescription drugs. Outpatient prescription medications are covered with copays, with federal price negotiation per the platform's Community Contribution Plan design. Inpatient drugs are fully covered under the medical care envelope.</w:t>
      </w:r>
    </w:p>
    <w:p>
      <w:pPr>
        <w:spacing w:after="240" w:line="340"/>
        <w:jc w:val="both"/>
      </w:pPr>
      <w:r>
        <w:rPr>
          <w:rFonts w:ascii="Georgia" w:cs="Georgia" w:eastAsia="Georgia" w:hAnsi="Georgia"/>
          <w:color w:val="1A1A1A"/>
          <w:sz w:val="24"/>
          <w:szCs w:val="24"/>
        </w:rPr>
        <w:t>Mental health treatment. Mental health services are covered under the Universal Mental Health Access pillar (Pillar 6) at 100 percent with no copays. This is funded through a separate 0.5 percent employer / 0.3 percent employee payroll contribution detailed in the Pillar 6 substantiation document (08_Universal_Mental_Health_Access_Substantiation.docx); the payroll rate is set there, not in this Healthcare Transition document, and any future rate revision should be made in the Pillar 6 substantiation as the single source of truth. The 0.5/0.3 payroll contribution rather than through the universal healthcare contribution.  (Source baseline: see Sources_And_Derivation_Convention.docx.)</w:t>
      </w:r>
    </w:p>
    <w:p>
      <w:pPr>
        <w:spacing w:after="240" w:line="340"/>
        <w:jc w:val="both"/>
      </w:pPr>
      <w:r>
        <w:rPr>
          <w:rFonts w:ascii="Georgia" w:cs="Georgia" w:eastAsia="Georgia" w:hAnsi="Georgia"/>
          <w:color w:val="1A1A1A"/>
          <w:sz w:val="24"/>
          <w:szCs w:val="24"/>
        </w:rPr>
        <w:t>Dental care. Preventive dental services (cleanings, examinations, x-rays) are covered at 100 percent. Restorative dental services (fillings, root canals, extractions, periodontal treatment) are covered at 100 percent. Orthodontic services are covered for children and adolescents only; adults purchase orthodontic care privately or through optional supplemental insurance. Cosmetic dental services (whitening, veneers, elective aesthetic procedures) are not covered. Dentures and dental prosthetics are partially covered with copays. This scope matches the German GKV standard.  (Source baseline: see Sources_And_Derivation_Convention.docx.)</w:t>
      </w:r>
    </w:p>
    <w:p>
      <w:pPr>
        <w:spacing w:after="240" w:line="340"/>
        <w:jc w:val="both"/>
      </w:pPr>
      <w:r>
        <w:rPr>
          <w:rFonts w:ascii="Georgia" w:cs="Georgia" w:eastAsia="Georgia" w:hAnsi="Georgia"/>
          <w:color w:val="1A1A1A"/>
          <w:sz w:val="24"/>
          <w:szCs w:val="24"/>
        </w:rPr>
        <w:t>Vision care. Eye examinations are covered at 100 percent. Treatment of eye diseases — cataracts, glaucoma, macular degeneration, diabetic retinopathy, and similar conditions — is covered at 100 percent including surgical and medical management. Prescription correction (eyeglasses and contact lenses) is covered for children and adolescents only; adults purchase prescription correction privately or through optional supplemental insurance. This scope matches the German GKV standard.  (Source baseline: see Sources_And_Derivation_Convention.docx.)</w:t>
      </w:r>
    </w:p>
    <w:p>
      <w:pPr>
        <w:spacing w:after="240" w:line="340"/>
        <w:jc w:val="both"/>
      </w:pPr>
      <w:r>
        <w:rPr>
          <w:rFonts w:ascii="Georgia" w:cs="Georgia" w:eastAsia="Georgia" w:hAnsi="Georgia"/>
          <w:color w:val="1A1A1A"/>
          <w:sz w:val="24"/>
          <w:szCs w:val="24"/>
        </w:rPr>
        <w:t>Long-term care, hearing aids, and other services. Long-term care is the platform's acknowledged largest unaddressed scope gap; see Aging-in-Place Implications. Hearing aids are not currently covered; this is consistent with the German baseline but is an honest gap that future platform versions could address. The Aging-in-Place document also acknowledges Medicare Advantage's supplemental benefits (vision, dental, hearing aids, transportation, meals) and notes that with universal healthcare absorbing the core medical and now also explicitly covering dental and basic vision, the supplemental-benefit gap is narrower than under the v2.20 framing.</w:t>
      </w:r>
    </w:p>
    <w:p>
      <w:pPr>
        <w:spacing w:after="240" w:line="340"/>
        <w:jc w:val="both"/>
      </w:pPr>
      <w:r>
        <w:rPr>
          <w:rFonts w:ascii="Georgia" w:cs="Georgia" w:eastAsia="Georgia" w:hAnsi="Georgia"/>
          <w:color w:val="1A1A1A"/>
          <w:sz w:val="24"/>
          <w:szCs w:val="24"/>
        </w:rPr>
        <w:t>Honest acknowledgment. The platform's universal healthcare Model in folder 04 has been updated to enumerate this coverage scope explicitly. The cost envelope assumptions remain unchanged from prior versions because the Germany comparison was always the modeling intent. If actual implementation shows that US dental and vision costs cannot be accommodated within the $9,500 per-capita target — for instance if US dental utilization or pricing differs materially from the German baseline — the contribution rate would need to be adjusted upward (the platform's structural design accommodates this through its rate-setting architecture) or the per-capita target raised.</w:t>
      </w:r>
    </w:p>
    <w:p>
      <w:pPr>
        <w:spacing w:after="240" w:line="340"/>
        <w:jc w:val="both"/>
      </w:pPr>
      <w:r>
        <w:rPr>
          <w:rFonts w:ascii="Georgia" w:cs="Georgia" w:eastAsia="Georgia" w:hAnsi="Georgia"/>
          <w:color w:val="1A1A1A"/>
          <w:sz w:val="24"/>
          <w:szCs w:val="24"/>
        </w:rPr>
        <w:t>Federal delivery system integration: the platform's universal healthcare architecture must integrate with the Veterans Affairs healthcare system (which serves approximately 9 million veterans through a directly-operated network of 1,200-plus facilities) and the Indian Health Service (which serves approximately 2.6 million American Indians and Alaska Natives through 600-plus facilities). The platform's architectural commitment is that these systems are preserved as specialized delivery infrastructure within the universal framework rather than dissolved into a single payer: veterans retain access to V-A facilities and the V-A retains its specialized expertise in service-connected conditions, while I-H-S facilities remain the primary delivery channel for tribal communities under existing trust obligations. Funding consolidation flows up to the universal payer level (the V-A and I-H-S no longer require separate Congressional appropriations) but service-delivery autonomy is preserved. Detailed integration design is identified as requiring veterans-health-policy and Indian-health-policy expertise; see the Tracked Issues Registry for the open items. (Federal delivery system integration scope note added in v3.7.197 via SITE-36 Pillar 4 review.)</w:t>
      </w:r>
    </w:p>
    <w:p>
      <w:pPr>
        <w:spacing w:after="240" w:line="340"/>
        <w:jc w:val="both"/>
      </w:pPr>
      <w:r>
        <w:rPr>
          <w:rFonts w:ascii="Georgia" w:cs="Georgia" w:eastAsia="Georgia" w:hAnsi="Georgia"/>
          <w:color w:val="1A1A1A"/>
          <w:sz w:val="24"/>
          <w:szCs w:val="24"/>
        </w:rPr>
        <w:t>Adjacent medical payment systems: workers' compensation, automobile medical, and medical malpractice integration. The U.S. has three substantial medical payment systems that operate outside the general medical insurance market and that interact with the platform's universal healthcare architecture. Aggregate annual medical spending across these three adjacent systems is approximately $50-55 billion. The platform's architectural position on each is documented below.</w:t>
      </w:r>
    </w:p>
    <w:p>
      <w:pPr>
        <w:spacing w:after="240" w:line="340"/>
        <w:jc w:val="both"/>
      </w:pPr>
      <w:r>
        <w:rPr>
          <w:rFonts w:ascii="Georgia" w:cs="Georgia" w:eastAsia="Georgia" w:hAnsi="Georgia"/>
          <w:color w:val="1A1A1A"/>
          <w:sz w:val="24"/>
          <w:szCs w:val="24"/>
        </w:rPr>
        <w:t>Workers' compensation medical. State-administered workers' compensation systems provide medical care to workers injured on the job, with medical costs paid by employer-funded insurance or self-insurance pools. Total workers' compensation medical spending is approximately $30 billion per year (NCCI / WCRI data). The platform's architectural position: workers' compensation medical coverage continues to operate as a specialized parallel system under existing state authority. Workers' compensation provides specialized integrated medical-plus-wage-replacement benefits tied to the workplace-injury context (independent medical evaluations, return-to-work coordination, vocational rehabilitation, permanent-impairment ratings) that the general universal healthcare architecture does not duplicate. Workers' compensation insurance remains employer-funded; the employer mandate is preserved. The principal change under Pillar 4: workers' compensation medical providers can no longer charge above the platform's universal healthcare reimbursement rates (the cost-shifting from general health insurance to workers' compensation that has driven workers' comp medical inflation for two decades is structurally resolved by the platform's uniform reimbursement rates).</w:t>
      </w:r>
    </w:p>
    <w:p>
      <w:pPr>
        <w:spacing w:after="240" w:line="340"/>
        <w:jc w:val="both"/>
      </w:pPr>
      <w:r>
        <w:rPr>
          <w:rFonts w:ascii="Georgia" w:cs="Georgia" w:eastAsia="Georgia" w:hAnsi="Georgia"/>
          <w:color w:val="1A1A1A"/>
          <w:sz w:val="24"/>
          <w:szCs w:val="24"/>
        </w:rPr>
        <w:t>Automobile medical (Personal Injury Protection and MedPay). Auto-insurance medical coverage operates under state-specific frameworks ranging from no-fault PIP states (Florida, Michigan, New Jersey, New York, others) to tort-recovery states. Total automobile-related medical spending paid through auto insurance is approximately $15 billion per year. The platform's architectural position: auto medical continues to operate as a specialized first-payer system in tort-recovery states; in no-fault PIP states, the architecture is simplified through absorption of PIP medical into Pillar 4 universal healthcare with subrogation against at-fault parties' liability coverage. The platform takes no position on broader auto-insurance reform (no-fault vs tort) — that question is left to states. The platform's contribution: standardized reimbursement rates eliminate the multi-tier pricing that currently produces 200-400 percent rate differentials between auto-medical and general health insurance for the same procedures.</w:t>
      </w:r>
    </w:p>
    <w:p>
      <w:pPr>
        <w:spacing w:after="240" w:line="340"/>
        <w:jc w:val="both"/>
      </w:pPr>
      <w:r>
        <w:rPr>
          <w:rFonts w:ascii="Georgia" w:cs="Georgia" w:eastAsia="Georgia" w:hAnsi="Georgia"/>
          <w:color w:val="1A1A1A"/>
          <w:sz w:val="24"/>
          <w:szCs w:val="24"/>
        </w:rPr>
        <w:t>Medical malpractice. Medical malpractice liability insurance covers physician and hospital exposure to negligence claims. Total annual malpractice premium volume is approximately $7 billion; claims paid are approximately $4 billion. Defensive medicine cost estimates (the additional testing and procedures physicians order to reduce malpractice exposure) range widely in the literature, from approximately $50 billion to over $200 billion per year depending on methodology. The platform's architectural position: medical malpractice law remains under state authority; the platform does not propose tort reform. However, two indirect platform contributions reduce malpractice cost pressure: (1) uniform reimbursement rates eliminate the incentive for defensive practice patterns driven by payer-mix anxiety; (2) Pillar 4's quality-measure infrastructure provides the standardized care-quality data that supports clearer evidence-based standards of care, reducing the ambiguity that drives malpractice litigation. State-level enterprise liability or other tort-reform discussions remain outside the platform's scope. (Adjacent medical payment systems integration section added in v3.7.212 via SITE-36 deferred-findings resolution.)</w:t>
      </w:r>
    </w:p>
    <w:p>
      <w:pPr>
        <w:pStyle w:val="Heading1"/>
        <w:spacing w:after="240" w:before="480"/>
      </w:pPr>
      <w:r>
        <w:rPr>
          <w:rFonts w:ascii="Arial" w:cs="Arial" w:eastAsia="Arial" w:hAnsi="Arial"/>
          <w:b/>
          <w:bCs/>
          <w:color w:val="1F4E78"/>
          <w:sz w:val="36"/>
          <w:szCs w:val="36"/>
        </w:rPr>
        <w:t xml:space="preserve">Component 1: Phased Savings Extraction</w:t>
      </w:r>
    </w:p>
    <w:p>
      <w:pPr>
        <w:spacing w:after="240" w:line="340"/>
        <w:jc w:val="both"/>
      </w:pPr>
      <w:r>
        <w:rPr>
          <w:rFonts w:ascii="Georgia" w:cs="Georgia" w:eastAsia="Georgia" w:hAnsi="Georgia"/>
          <w:color w:val="1A1A1A"/>
          <w:sz w:val="24"/>
          <w:szCs w:val="24"/>
        </w:rPr>
        <w:t>The original universal healthcare Model assumes a 10-year glide path from current $14,612 per capita spending to target $9,500. Gemini's review correctly observes that this is aggressive given the economic shock involved. This component extends the glide path to 15 years and articulates explicit milestones at 5-year intervals.</w:t>
      </w:r>
    </w:p>
    <w:p>
      <w:pPr>
        <w:pStyle w:val="Heading2"/>
        <w:spacing w:after="160" w:before="360"/>
      </w:pPr>
      <w:r>
        <w:rPr>
          <w:rFonts w:ascii="Arial" w:cs="Arial" w:eastAsia="Arial" w:hAnsi="Arial"/>
          <w:b/>
          <w:bCs/>
          <w:color w:val="1F4E78"/>
          <w:sz w:val="28"/>
          <w:szCs w:val="28"/>
        </w:rPr>
        <w:t xml:space="preserve">The Revised Glide Path</w:t>
      </w:r>
    </w:p>
    <w:p>
      <w:pPr>
        <w:spacing w:after="200" w:line="320"/>
        <w:jc w:val="both"/>
      </w:pPr>
      <w:r>
        <w:rPr>
          <w:rFonts w:ascii="Georgia" w:cs="Georgia" w:eastAsia="Georgia" w:hAnsi="Georgia"/>
          <w:color w:val="1A1A1A"/>
          <w:sz w:val="22"/>
          <w:szCs w:val="22"/>
        </w:rPr>
        <w:t xml:space="preserve">The revised glide path targets $13,000 per capita by Year 5, $11,200 per capita by Year 10, and $9,500 per capita by Year 15. The savings accumulation is back-loaded: roughly $400B of annual savings achieved by Year 5, $1.0T by Year 10, and the full $1.7T by Year 15. This pattern reflects the operational reality that price negotiations, administrative reorganization, and structural changes take years to implement and produce results.</w:t>
      </w:r>
    </w:p>
    <w:p>
      <w:pPr>
        <w:pStyle w:val="Heading2"/>
        <w:spacing w:after="160" w:before="360"/>
      </w:pPr>
      <w:r>
        <w:rPr>
          <w:rFonts w:ascii="Arial" w:cs="Arial" w:eastAsia="Arial" w:hAnsi="Arial"/>
          <w:b/>
          <w:bCs/>
          <w:color w:val="1F4E78"/>
          <w:sz w:val="28"/>
          <w:szCs w:val="28"/>
        </w:rPr>
        <w:t xml:space="preserve">Why 15 Years Beats 10 Years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Operational benefits of slower extraction</w:t>
            </w:r>
          </w:p>
          <w:p>
            <w:pPr>
              <w:spacing w:after="100" w:line="280"/>
            </w:pPr>
            <w:r>
              <w:rPr>
                <w:rFonts w:ascii="Georgia" w:cs="Georgia" w:eastAsia="Georgia" w:hAnsi="Georgia"/>
                <w:color w:val="1A1A1A"/>
                <w:sz w:val="21"/>
                <w:szCs w:val="21"/>
              </w:rPr>
              <w:t xml:space="preserve">•  Healthcare institutions can adapt their operations gradually rather than facing immediate revenue cliffs.</w:t>
            </w:r>
          </w:p>
          <w:p>
            <w:pPr>
              <w:spacing w:after="100" w:line="280"/>
            </w:pPr>
            <w:r>
              <w:rPr>
                <w:rFonts w:ascii="Georgia" w:cs="Georgia" w:eastAsia="Georgia" w:hAnsi="Georgia"/>
                <w:color w:val="1A1A1A"/>
                <w:sz w:val="21"/>
                <w:szCs w:val="21"/>
              </w:rPr>
              <w:t xml:space="preserve">•  Workforce transition occurs at a sustainable pace, allowing displaced administrative workers to retrain or relocate without overwhelming local labor markets.</w:t>
            </w:r>
          </w:p>
          <w:p>
            <w:pPr>
              <w:spacing w:after="100" w:line="280"/>
            </w:pPr>
            <w:r>
              <w:rPr>
                <w:rFonts w:ascii="Georgia" w:cs="Georgia" w:eastAsia="Georgia" w:hAnsi="Georgia"/>
                <w:color w:val="1A1A1A"/>
                <w:sz w:val="21"/>
                <w:szCs w:val="21"/>
              </w:rPr>
              <w:t xml:space="preserve">•  Rural hospitals get extended runway to either consolidate operations or qualify for the rural protection program (Component 2).</w:t>
            </w:r>
          </w:p>
          <w:p>
            <w:pPr>
              <w:spacing w:after="100" w:line="280"/>
            </w:pPr>
            <w:r>
              <w:rPr>
                <w:rFonts w:ascii="Georgia" w:cs="Georgia" w:eastAsia="Georgia" w:hAnsi="Georgia"/>
                <w:color w:val="1A1A1A"/>
                <w:sz w:val="21"/>
                <w:szCs w:val="21"/>
              </w:rPr>
              <w:t xml:space="preserve">•  Pharmaceutical companies can adjust pricing strategies and innovation pipelines in response to predictable annual changes rather than absorbing immediate shocks.</w:t>
            </w:r>
          </w:p>
          <w:p>
            <w:pPr>
              <w:spacing w:after="100" w:line="280"/>
            </w:pPr>
            <w:r>
              <w:rPr>
                <w:rFonts w:ascii="Georgia" w:cs="Georgia" w:eastAsia="Georgia" w:hAnsi="Georgia"/>
                <w:color w:val="1A1A1A"/>
                <w:sz w:val="21"/>
                <w:szCs w:val="21"/>
              </w:rPr>
              <w:t xml:space="preserve">•  Insurance administrators can wind down operations in phases rather than mass layoffs.</w:t>
            </w:r>
          </w:p>
          <w:p>
            <w:pPr>
              <w:spacing w:after="100" w:line="280"/>
            </w:pPr>
            <w:r>
              <w:rPr>
                <w:rFonts w:ascii="Georgia" w:cs="Georgia" w:eastAsia="Georgia" w:hAnsi="Georgia"/>
                <w:color w:val="1A1A1A"/>
                <w:sz w:val="21"/>
                <w:szCs w:val="21"/>
              </w:rPr>
              <w:t xml:space="preserve">•  Patients and physicians experience gradual improvements in cost and access rather than abrupt disruption.</w:t>
            </w:r>
          </w:p>
        </w:tc>
      </w:tr>
    </w:tbl>
    <w:p>
      <w:pPr>
        <w:pStyle w:val="Heading2"/>
        <w:spacing w:after="160" w:before="360"/>
      </w:pPr>
      <w:r>
        <w:rPr>
          <w:rFonts w:ascii="Arial" w:cs="Arial" w:eastAsia="Arial" w:hAnsi="Arial"/>
          <w:b/>
          <w:bCs/>
          <w:color w:val="1F4E78"/>
          <w:sz w:val="28"/>
          <w:szCs w:val="28"/>
        </w:rPr>
        <w:t xml:space="preserve">The Cost of Slower Extraction</w:t>
      </w:r>
    </w:p>
    <w:p>
      <w:pPr>
        <w:spacing w:after="200" w:line="320"/>
        <w:jc w:val="both"/>
      </w:pPr>
      <w:r>
        <w:rPr>
          <w:rFonts w:ascii="Georgia" w:cs="Georgia" w:eastAsia="Georgia" w:hAnsi="Georgia"/>
          <w:color w:val="1A1A1A"/>
          <w:sz w:val="22"/>
          <w:szCs w:val="22"/>
        </w:rPr>
        <w:t xml:space="preserve">Extending the timeline from 10 years to 15 years has real opportunity costs. The platform's compound benefits depend on healthcare savings funding other priorities (retroactive medical debt retirement, education fund seeding, mental health expansion). Slower savings extraction delays these compound benefits by approximately five years. The honest trade-off is that some compound benefits arrive later under the 15-year timeline; in exchange, the transition is more humane and politically sustainable.</w:t>
      </w:r>
    </w:p>
    <w:p>
      <w:pPr>
        <w:pStyle w:val="Heading2"/>
        <w:spacing w:after="160" w:before="360"/>
      </w:pPr>
      <w:r>
        <w:rPr>
          <w:rFonts w:ascii="Arial" w:cs="Arial" w:eastAsia="Arial" w:hAnsi="Arial"/>
          <w:b/>
          <w:bCs/>
          <w:color w:val="1F4E78"/>
          <w:sz w:val="28"/>
          <w:szCs w:val="28"/>
        </w:rPr>
        <w:t xml:space="preserve">Sensitivity Analysis</w:t>
      </w:r>
    </w:p>
    <w:p>
      <w:pPr>
        <w:spacing w:after="200" w:line="320"/>
        <w:jc w:val="both"/>
      </w:pPr>
      <w:r>
        <w:rPr>
          <w:rFonts w:ascii="Georgia" w:cs="Georgia" w:eastAsia="Georgia" w:hAnsi="Georgia"/>
          <w:color w:val="1A1A1A"/>
          <w:sz w:val="22"/>
          <w:szCs w:val="22"/>
        </w:rPr>
        <w:t>The universal healthcare Model should be updated to include sensitivity analysis showing outcomes under 10-year, 15-year, and 20-year glide paths. This makes the trade-off explicit for readers rather than embedded in a single assumption. A 20-year glide path produces the smoothest transition but delays compound benefits by a full decade; a 10-year glide path accelerates compound benefits but creates more economic shock and political resistance.</w:t>
      </w:r>
    </w:p>
    <w:p>
      <w:pPr>
        <w:spacing w:after="200" w:line="320"/>
        <w:jc w:val="both"/>
      </w:pPr>
      <w:r>
        <w:rPr>
          <w:rFonts w:ascii="Georgia" w:cs="Georgia" w:eastAsia="Georgia" w:hAnsi="Georgia"/>
          <w:color w:val="1A1A1A"/>
          <w:sz w:val="22"/>
          <w:szCs w:val="22"/>
        </w:rPr>
        <w:t>Glide-path sensitivity outcomes: v3.7.230 documents the sensitivity-analysis outcomes that the model should have carried since the v2.0 substantiation round. Three glide-path scenarios are documented, each calibrated to the same steady-state ~$400 billion annual healthcare savings figure but reaching steady state on different timelines. 10-year aggressive glide path: realized annual savings reach approximately $320 billion at year 10 (80 percent of steady state) and $400 billion at year 15 onward. Aggressive extraction maximizes compound-benefit cumulative savings over the 60-year analysis window (approximately $19 trillion cumulative net savings) and accelerates funding availability for other platform priorities including retroactive medical debt retirement, education fund seeding, and mental health expansion. The cost: hospital closure risk is highest under this path; approximately 200-300 rural and safety-net hospitals at heightened closure risk during the first 6-8 years; administrative-worker transition support is most stressed; specialist-practice transition is most disruptive. 15-year baseline glide path (the model's central scenario): realized annual savings reach approximately $220 billion at year 10 (55 percent of steady state), $330 billion at year 15 (82 percent), and $400 billion at year 18 onward. Cumulative 60-year savings approximately $17 trillion. Balanced trade-offs between extraction velocity and transition disruption; rural hospital protection program (Component 2) is well-funded and operational; administrative-worker transition support (Component 3) has time to scale; specialist-practice transition (Component 4) reaches functional capacity by year 8-10. 20-year gradual glide path: realized annual savings reach approximately $160 billion at year 10 (40 percent of steady state), $240 billion at year 15 (60 percent), $320 billion at year 20 (80 percent), and $400 billion at year 22 onward. Cumulative 60-year savings approximately $14 trillion (about 25 percent lower than 10-year aggressive path due to slower compounding). Hospital closure risk is lowest under this path; administrative-worker and specialist-practice transitions are most gradual; mental health and education funding expansions accumulate more slowly. Implementation choice considerations: the platform's central recommendation is the 15-year baseline as offering the best balance of extraction velocity and transition-disruption mitigation. Implementations of either the 10-year (aggressive savings, higher transition cost) or 20-year (gradual savings, lower transition cost) paths are coherent alternatives. The 10-year path is most appropriate when political conditions permit aggressive front-loading of the rural-hospital and administrative-worker transition programs; the 20-year path is most appropriate when transition-program funding capacity is constrained or when stakeholder coalition building requires longer phasing. Glide-path sensitivity added in v3.7.230 to close Pillar 4 Finding 4 from the v3.7.207 SITE-36 review.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“Fifteen years is the right glide path: aggressive enough to deliver meaningful savings within a generation, gradual enough to absorb the economic shock without breaking the institutions the platform is supposed to reform.”</w:t>
            </w:r>
          </w:p>
        </w:tc>
      </w:tr>
    </w:tbl>
    <w:p>
      <w:r>
        <w:br w:type="page"/>
      </w:r>
    </w:p>
    <w:p>
      <w:pPr>
        <w:pStyle w:val="Heading1"/>
        <w:spacing w:after="240" w:before="480"/>
      </w:pPr>
      <w:r>
        <w:rPr>
          <w:rFonts w:ascii="Arial" w:cs="Arial" w:eastAsia="Arial" w:hAnsi="Arial"/>
          <w:b/>
          <w:bCs/>
          <w:color w:val="1F4E78"/>
          <w:sz w:val="36"/>
          <w:szCs w:val="36"/>
        </w:rPr>
        <w:t xml:space="preserve">Component 2: Rural Hospital Protection Program</w:t>
      </w:r>
    </w:p>
    <w:p>
      <w:pPr>
        <w:spacing w:after="240" w:line="340"/>
        <w:jc w:val="both"/>
      </w:pPr>
      <w:r>
        <w:rPr>
          <w:rFonts w:ascii="Georgia" w:cs="Georgia" w:eastAsia="Georgia" w:hAnsi="Georgia"/>
          <w:color w:val="1A1A1A"/>
          <w:sz w:val="24"/>
          <w:szCs w:val="24"/>
        </w:rPr>
        <w:t xml:space="preserve">Rural hospitals are economically fragile under the current healthcare system. Approximately 130 rural hospitals have closed since 2010, and the Center for Healthcare Quality and Payment Reform identified 600+ at risk. Aggressive cost containment without specific protection would accelerate this collapse, harming the rural communities the platform is supposed to serve.</w:t>
      </w:r>
    </w:p>
    <w:p>
      <w:pPr>
        <w:pStyle w:val="Heading2"/>
        <w:spacing w:after="160" w:before="360"/>
      </w:pPr>
      <w:r>
        <w:rPr>
          <w:rFonts w:ascii="Arial" w:cs="Arial" w:eastAsia="Arial" w:hAnsi="Arial"/>
          <w:b/>
          <w:bCs/>
          <w:color w:val="1F4E78"/>
          <w:sz w:val="28"/>
          <w:szCs w:val="28"/>
        </w:rPr>
        <w:t xml:space="preserve">The Protection Mechanism</w:t>
      </w:r>
    </w:p>
    <w:p>
      <w:pPr>
        <w:spacing w:after="200" w:line="320"/>
        <w:jc w:val="both"/>
      </w:pPr>
      <w:r>
        <w:rPr>
          <w:rFonts w:ascii="Georgia" w:cs="Georgia" w:eastAsia="Georgia" w:hAnsi="Georgia"/>
          <w:color w:val="1A1A1A"/>
          <w:sz w:val="22"/>
          <w:szCs w:val="22"/>
        </w:rPr>
        <w:t xml:space="preserve">The Rural Hospital Protection Program supplements rural hospital reimbursement above the standard rates negotiated under the multi-payer system. Hospitals serving Census Bureau-designated rural areas receive payment rates set at the higher of (a) the negotiated multi-payer rate, or (b) a rural-specific rate that maintains operational viability. The rural-specific rate is calibrated to cover documented operating costs plus a modest margin (3-5%), preserving rural hospital operations while preventing the protection from becoming a profit center.</w:t>
      </w:r>
    </w:p>
    <w:p>
      <w:pPr>
        <w:spacing w:after="200" w:line="320"/>
        <w:jc w:val="both"/>
      </w:pPr>
      <w:r>
        <w:rPr>
          <w:rFonts w:ascii="Georgia" w:cs="Georgia" w:eastAsia="Georgia" w:hAnsi="Georgia"/>
          <w:color w:val="1A1A1A"/>
          <w:sz w:val="22"/>
          <w:szCs w:val="22"/>
        </w:rPr>
        <w:t xml:space="preserve">The dedicated funding stream for rural protection comes from a combination of (a) general healthcare savings (a small percentage of the $1.7T diverted to rural protection), (b) state contributions (states with substantial rural populations co-fund the program), and (c) federal categorical grants for hospital modernization. Total annual cost is estimated at $20-30 billion, less than 2% of total healthcare savings.</w:t>
      </w:r>
    </w:p>
    <w:p>
      <w:pPr>
        <w:pStyle w:val="Heading2"/>
        <w:spacing w:after="160" w:before="360"/>
      </w:pPr>
      <w:r>
        <w:rPr>
          <w:rFonts w:ascii="Arial" w:cs="Arial" w:eastAsia="Arial" w:hAnsi="Arial"/>
          <w:b/>
          <w:bCs/>
          <w:color w:val="1F4E78"/>
          <w:sz w:val="28"/>
          <w:szCs w:val="28"/>
        </w:rPr>
        <w:t xml:space="preserve">Eligibility and Standards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Who qualifies for rural protection</w:t>
            </w:r>
          </w:p>
          <w:p>
            <w:pPr>
              <w:spacing w:after="100" w:line="280"/>
            </w:pPr>
            <w:r>
              <w:rPr>
                <w:rFonts w:ascii="Georgia" w:cs="Georgia" w:eastAsia="Georgia" w:hAnsi="Georgia"/>
                <w:color w:val="1A1A1A"/>
                <w:sz w:val="21"/>
                <w:szCs w:val="21"/>
              </w:rPr>
              <w:t xml:space="preserve">•  Hospitals located in Census Bureau-designated rural areas (current: ~1,800 hospitals serving 60M Americans).</w:t>
            </w:r>
          </w:p>
          <w:p>
            <w:pPr>
              <w:spacing w:after="100" w:line="280"/>
            </w:pPr>
            <w:r>
              <w:rPr>
                <w:rFonts w:ascii="Georgia" w:cs="Georgia" w:eastAsia="Georgia" w:hAnsi="Georgia"/>
                <w:color w:val="1A1A1A"/>
                <w:sz w:val="21"/>
                <w:szCs w:val="21"/>
              </w:rPr>
              <w:t xml:space="preserve">•  Critical Access Hospitals already designated under existing CMS programs are automatically eligible and continue with enhanced support.</w:t>
            </w:r>
          </w:p>
          <w:p>
            <w:pPr>
              <w:spacing w:after="100" w:line="280"/>
            </w:pPr>
            <w:r>
              <w:rPr>
                <w:rFonts w:ascii="Georgia" w:cs="Georgia" w:eastAsia="Georgia" w:hAnsi="Georgia"/>
                <w:color w:val="1A1A1A"/>
                <w:sz w:val="21"/>
                <w:szCs w:val="21"/>
              </w:rPr>
              <w:t xml:space="preserve">•  Hospitals serving as the sole emergency provider within 35-mile radius receive priority status.</w:t>
            </w:r>
          </w:p>
          <w:p>
            <w:pPr>
              <w:spacing w:after="100" w:line="280"/>
            </w:pPr>
            <w:r>
              <w:rPr>
                <w:rFonts w:ascii="Georgia" w:cs="Georgia" w:eastAsia="Georgia" w:hAnsi="Georgia"/>
                <w:color w:val="1A1A1A"/>
                <w:sz w:val="21"/>
                <w:szCs w:val="21"/>
              </w:rPr>
              <w:t xml:space="preserve">•  Hospitals demonstrating financial viability under enhanced reimbursement (3-year operating loss patterns indicating structural rather than fixable issues result in transition rather than ongoing protection).</w:t>
            </w:r>
          </w:p>
          <w:p>
            <w:pPr>
              <w:spacing w:after="100" w:line="280"/>
            </w:pPr>
            <w:r>
              <w:rPr>
                <w:rFonts w:ascii="Georgia" w:cs="Georgia" w:eastAsia="Georgia" w:hAnsi="Georgia"/>
                <w:color w:val="1A1A1A"/>
                <w:sz w:val="21"/>
                <w:szCs w:val="21"/>
              </w:rPr>
              <w:t xml:space="preserve">•  Hospitals meeting baseline quality standards: emergency capacity, basic surgical capability, maternity services or active partnership with maternity-providing facility within 40-mile radius.</w:t>
            </w:r>
          </w:p>
        </w:tc>
      </w:tr>
    </w:tbl>
    <w:p>
      <w:pPr>
        <w:pStyle w:val="Heading2"/>
        <w:spacing w:after="160" w:before="360"/>
      </w:pPr>
      <w:r>
        <w:rPr>
          <w:rFonts w:ascii="Arial" w:cs="Arial" w:eastAsia="Arial" w:hAnsi="Arial"/>
          <w:b/>
          <w:bCs/>
          <w:color w:val="1F4E78"/>
          <w:sz w:val="28"/>
          <w:szCs w:val="28"/>
        </w:rPr>
        <w:t xml:space="preserve">Transition for Hospitals That Cannot Be Saved</w:t>
      </w:r>
    </w:p>
    <w:p>
      <w:pPr>
        <w:spacing w:after="200" w:line="320"/>
        <w:jc w:val="both"/>
      </w:pPr>
      <w:r>
        <w:rPr>
          <w:rFonts w:ascii="Georgia" w:cs="Georgia" w:eastAsia="Georgia" w:hAnsi="Georgia"/>
          <w:color w:val="1A1A1A"/>
          <w:sz w:val="22"/>
          <w:szCs w:val="22"/>
        </w:rPr>
        <w:t xml:space="preserve">Some rural hospitals are not viable even with enhanced reimbursement. The honest acknowledgment is that 30-50 rural hospitals will likely close during the transition despite the protection program, due to declining local populations, persistent quality issues, or inability to recruit and retain providers. For these communities, the transition program funds (a) emergency medical service expansion to cover hospital closures, (b) urgent care and primary care expansion to maintain non-emergency access, (c) telehealth infrastructure investment to maintain specialist access, and (d) emergency transport infrastructure to reach surviving hospitals within clinically acceptable timeframes.</w:t>
      </w:r>
    </w:p>
    <w:p>
      <w:pPr>
        <w:spacing w:after="200" w:line="320"/>
        <w:jc w:val="both"/>
      </w:pPr>
      <w:r>
        <w:rPr>
          <w:rFonts w:ascii="Georgia" w:cs="Georgia" w:eastAsia="Georgia" w:hAnsi="Georgia"/>
          <w:color w:val="1A1A1A"/>
          <w:sz w:val="22"/>
          <w:szCs w:val="22"/>
        </w:rPr>
        <w:t xml:space="preserve">This honest acknowledgment is important for credibility. The platform cannot promise zero rural hospital closures. The promise is that rural communities have sustained healthcare access through alternative arrangements when individual hospital closures are unavoidable.</w:t>
      </w:r>
    </w:p>
    <w:p>
      <w:pPr>
        <w:pStyle w:val="Heading2"/>
        <w:spacing w:after="160" w:before="360"/>
      </w:pPr>
      <w:r>
        <w:rPr>
          <w:rFonts w:ascii="Arial" w:cs="Arial" w:eastAsia="Arial" w:hAnsi="Arial"/>
          <w:b/>
          <w:bCs/>
          <w:color w:val="1F4E78"/>
          <w:sz w:val="28"/>
          <w:szCs w:val="28"/>
        </w:rPr>
        <w:t xml:space="preserve">Workforce Continuity in Rural Areas</w:t>
      </w:r>
    </w:p>
    <w:p>
      <w:pPr>
        <w:spacing w:after="200" w:line="320"/>
        <w:jc w:val="both"/>
      </w:pPr>
      <w:r>
        <w:rPr>
          <w:rFonts w:ascii="Georgia" w:cs="Georgia" w:eastAsia="Georgia" w:hAnsi="Georgia"/>
          <w:color w:val="1A1A1A"/>
          <w:sz w:val="22"/>
          <w:szCs w:val="22"/>
        </w:rPr>
        <w:t xml:space="preserve">Rural areas face physician shortages, nurse shortages, and specialist access problems independent of hospital economics. The Rural Hospital Protection Program includes workforce incentives: enhanced loan forgiveness for physicians and nurses serving rural areas (paid through the Sovereign Education Fund), housing assistance for healthcare workers relocating to rural areas, and visa pathways for international medical graduates committed to rural service. These workforce components run in parallel with the financial protection.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“Rural hospitals don't fail because rural Americans don't deserve healthcare. They fail because the current system treats healthcare like any other market. The protection program treats rural healthcare as essential infrastructure that requires deliberate maintenance.”</w:t>
            </w:r>
          </w:p>
        </w:tc>
      </w:tr>
    </w:tbl>
    <w:p>
      <w:r>
        <w:br w:type="page"/>
      </w:r>
    </w:p>
    <w:p>
      <w:pPr>
        <w:pStyle w:val="Heading1"/>
        <w:spacing w:after="240" w:before="480"/>
      </w:pPr>
      <w:r>
        <w:rPr>
          <w:rFonts w:ascii="Arial" w:cs="Arial" w:eastAsia="Arial" w:hAnsi="Arial"/>
          <w:b/>
          <w:bCs/>
          <w:color w:val="1F4E78"/>
          <w:sz w:val="36"/>
          <w:szCs w:val="36"/>
        </w:rPr>
        <w:t xml:space="preserve">Component 3: Administrative Worker Transition</w:t>
      </w:r>
    </w:p>
    <w:p>
      <w:pPr>
        <w:spacing w:after="240" w:line="340"/>
        <w:jc w:val="both"/>
      </w:pPr>
      <w:r>
        <w:rPr>
          <w:rFonts w:ascii="Georgia" w:cs="Georgia" w:eastAsia="Georgia" w:hAnsi="Georgia"/>
          <w:color w:val="1A1A1A"/>
          <w:sz w:val="24"/>
          <w:szCs w:val="24"/>
        </w:rPr>
        <w:t xml:space="preserve">The current US healthcare system employs approximately 600,000 administrative workers handling functions that don't exist in single-payer or unified multi-payer systems: claims processing for thousands of different insurance plans, prior authorization management, billing reconciliation across multiple payers, and the documentation overhead that fragmented payment creates. The transition will eliminate most of these positions.</w:t>
      </w:r>
    </w:p>
    <w:p>
      <w:pPr>
        <w:pStyle w:val="Heading2"/>
        <w:spacing w:after="160" w:before="360"/>
      </w:pPr>
      <w:r>
        <w:rPr>
          <w:rFonts w:ascii="Arial" w:cs="Arial" w:eastAsia="Arial" w:hAnsi="Arial"/>
          <w:b/>
          <w:bCs/>
          <w:color w:val="1F4E78"/>
          <w:sz w:val="28"/>
          <w:szCs w:val="28"/>
        </w:rPr>
        <w:t xml:space="preserve">The Scale of Displacement</w:t>
      </w:r>
    </w:p>
    <w:p>
      <w:pPr>
        <w:spacing w:after="200" w:line="320"/>
        <w:jc w:val="both"/>
      </w:pPr>
      <w:r>
        <w:rPr>
          <w:rFonts w:ascii="Georgia" w:cs="Georgia" w:eastAsia="Georgia" w:hAnsi="Georgia"/>
          <w:color w:val="1A1A1A"/>
          <w:sz w:val="22"/>
          <w:szCs w:val="22"/>
        </w:rPr>
        <w:t xml:space="preserve">Administrative employment in US healthcare exceeds the combined administrative employment of all other developed nations' healthcare systems. The transition would reduce administrative employment by approximately 70-80% from current levels, displacing 400,000-480,000 workers over the 15-year transition. This is a real and substantial economic dislocation that the platform must address rather than treat as an externality.</w:t>
      </w:r>
    </w:p>
    <w:p>
      <w:pPr>
        <w:pStyle w:val="Heading2"/>
        <w:spacing w:after="160" w:before="360"/>
      </w:pPr>
      <w:r>
        <w:rPr>
          <w:rFonts w:ascii="Arial" w:cs="Arial" w:eastAsia="Arial" w:hAnsi="Arial"/>
          <w:b/>
          <w:bCs/>
          <w:color w:val="1F4E78"/>
          <w:sz w:val="28"/>
          <w:szCs w:val="28"/>
        </w:rPr>
        <w:t xml:space="preserve">The Transition Program</w:t>
      </w:r>
    </w:p>
    <w:p>
      <w:pPr>
        <w:spacing w:after="200" w:line="320"/>
        <w:jc w:val="both"/>
      </w:pPr>
      <w:r>
        <w:rPr>
          <w:rFonts w:ascii="Georgia" w:cs="Georgia" w:eastAsia="Georgia" w:hAnsi="Georgia"/>
          <w:color w:val="1A1A1A"/>
          <w:sz w:val="22"/>
          <w:szCs w:val="22"/>
        </w:rPr>
        <w:t xml:space="preserve">The Administrative Worker Transition Program provides structured support for workers displaced from healthcare administration. The program has four components: enhanced unemployment benefits, retraining for clinical-adjacent roles, education fund priority access, and direct hiring preference for new healthcare delivery positions.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Program components</w:t>
            </w:r>
          </w:p>
          <w:p>
            <w:pPr>
              <w:spacing w:after="100" w:line="280"/>
            </w:pPr>
            <w:r>
              <w:rPr>
                <w:rFonts w:ascii="Georgia" w:cs="Georgia" w:eastAsia="Georgia" w:hAnsi="Georgia"/>
                <w:color w:val="1A1A1A"/>
                <w:sz w:val="21"/>
                <w:szCs w:val="21"/>
              </w:rPr>
              <w:t xml:space="preserve">•  Enhanced unemployment benefits: 24 months of unemployment coverage at 80% of prior wages (versus standard 26 weeks at 50%), funded by a small portion of healthcare savings.</w:t>
            </w:r>
          </w:p>
          <w:p>
            <w:pPr>
              <w:spacing w:after="100" w:line="280"/>
            </w:pPr>
            <w:r>
              <w:rPr>
                <w:rFonts w:ascii="Georgia" w:cs="Georgia" w:eastAsia="Georgia" w:hAnsi="Georgia"/>
                <w:color w:val="1A1A1A"/>
                <w:sz w:val="21"/>
                <w:szCs w:val="21"/>
              </w:rPr>
              <w:t xml:space="preserve">•  Retraining for clinical-adjacent roles: paid training programs (with stipends covering living expenses) for roles like medical assistant, phlebotomist, surgical technician, dental hygienist, or nursing pre-requisites. Training programs partner with community colleges and have guaranteed admission for displaced administrative workers.</w:t>
            </w:r>
          </w:p>
          <w:p>
            <w:pPr>
              <w:spacing w:after="100" w:line="280"/>
            </w:pPr>
            <w:r>
              <w:rPr>
                <w:rFonts w:ascii="Georgia" w:cs="Georgia" w:eastAsia="Georgia" w:hAnsi="Georgia"/>
                <w:color w:val="1A1A1A"/>
                <w:sz w:val="21"/>
                <w:szCs w:val="21"/>
              </w:rPr>
              <w:t xml:space="preserve">•  Education fund priority access: displaced workers receive priority access to Sovereign Education Fund balances for retraining in any field, not just healthcare. This recognizes that some workers will choose to leave healthcare entirely.</w:t>
            </w:r>
          </w:p>
          <w:p>
            <w:pPr>
              <w:spacing w:after="100" w:line="280"/>
            </w:pPr>
            <w:r>
              <w:rPr>
                <w:rFonts w:ascii="Georgia" w:cs="Georgia" w:eastAsia="Georgia" w:hAnsi="Georgia"/>
                <w:color w:val="1A1A1A"/>
                <w:sz w:val="21"/>
                <w:szCs w:val="21"/>
              </w:rPr>
              <w:t xml:space="preserve">•  Direct hiring preference: new healthcare delivery positions (which expand under universal access as more Americans receive care) give hiring preference to displaced administrative workers who complete relevant training. This converts displacement into transition rather than terminal job loss.</w:t>
            </w:r>
          </w:p>
          <w:p>
            <w:pPr>
              <w:spacing w:after="100" w:line="280"/>
            </w:pPr>
            <w:r>
              <w:rPr>
                <w:rFonts w:ascii="Georgia" w:cs="Georgia" w:eastAsia="Georgia" w:hAnsi="Georgia"/>
                <w:color w:val="1A1A1A"/>
                <w:sz w:val="21"/>
                <w:szCs w:val="21"/>
              </w:rPr>
              <w:t xml:space="preserve">•  Geographic relocation support: workers willing to relocate to rural or underserved areas receive moving expenses plus housing stipends for the first two years.</w:t>
            </w:r>
          </w:p>
          <w:p>
            <w:pPr>
              <w:spacing w:after="100" w:line="280"/>
            </w:pPr>
            <w:r>
              <w:rPr>
                <w:rFonts w:ascii="Georgia" w:cs="Georgia" w:eastAsia="Georgia" w:hAnsi="Georgia"/>
                <w:color w:val="1A1A1A"/>
                <w:sz w:val="21"/>
                <w:szCs w:val="21"/>
              </w:rPr>
              <w:t xml:space="preserve">•  Mental health support: the Universal Mental Health Access pillar provides priority access for workers experiencing job-loss-related distress, ensuring transition supports include psychological care.</w:t>
            </w:r>
          </w:p>
        </w:tc>
      </w:tr>
    </w:tbl>
    <w:p>
      <w:pPr>
        <w:pStyle w:val="Heading2"/>
        <w:spacing w:after="160" w:before="360"/>
      </w:pPr>
      <w:r>
        <w:rPr>
          <w:rFonts w:ascii="Arial" w:cs="Arial" w:eastAsia="Arial" w:hAnsi="Arial"/>
          <w:b/>
          <w:bCs/>
          <w:color w:val="1F4E78"/>
          <w:sz w:val="28"/>
          <w:szCs w:val="28"/>
        </w:rPr>
        <w:t xml:space="preserve">Who Cannot Be Transitioned</w:t>
      </w:r>
    </w:p>
    <w:p>
      <w:pPr>
        <w:spacing w:after="200" w:line="320"/>
        <w:jc w:val="both"/>
      </w:pPr>
      <w:r>
        <w:rPr>
          <w:rFonts w:ascii="Georgia" w:cs="Georgia" w:eastAsia="Georgia" w:hAnsi="Georgia"/>
          <w:color w:val="1A1A1A"/>
          <w:sz w:val="22"/>
          <w:szCs w:val="22"/>
        </w:rPr>
        <w:t xml:space="preserve">The honest acknowledgment is that some displaced administrative workers will not successfully transition. Workers near retirement age may simply retire early, requiring bridge retirement support. Workers in geographic areas where healthcare delivery employment opportunities don't expand sufficiently may experience permanent unemployment. Workers whose skills were highly specialized to current administrative work may struggle to retrain. The program estimates 10-15% of displaced workers will face permanent or near-permanent reduction in employment despite all support efforts.</w:t>
      </w:r>
    </w:p>
    <w:p>
      <w:pPr>
        <w:spacing w:after="200" w:line="320"/>
        <w:jc w:val="both"/>
      </w:pPr>
      <w:r>
        <w:rPr>
          <w:rFonts w:ascii="Georgia" w:cs="Georgia" w:eastAsia="Georgia" w:hAnsi="Georgia"/>
          <w:color w:val="1A1A1A"/>
          <w:sz w:val="22"/>
          <w:szCs w:val="22"/>
        </w:rPr>
        <w:t xml:space="preserve">For these workers, the transition program includes extended unemployment support (up to 5 years for workers age 55+), bridge retirement payments (early Social Security access without penalty for workers age 60+ who cannot find suitable employment), and continuing healthcare coverage independent of employment. These commitments are real and have real costs (~$20-30B annually during peak transition years), but they are honest about the human cost of restructuring.</w:t>
      </w:r>
    </w:p>
    <w:p>
      <w:pPr>
        <w:pStyle w:val="Heading2"/>
        <w:spacing w:after="160" w:before="360"/>
      </w:pPr>
      <w:r>
        <w:rPr>
          <w:rFonts w:ascii="Arial" w:cs="Arial" w:eastAsia="Arial" w:hAnsi="Arial"/>
          <w:b/>
          <w:bCs/>
          <w:color w:val="1F4E78"/>
          <w:sz w:val="28"/>
          <w:szCs w:val="28"/>
        </w:rPr>
        <w:t xml:space="preserve">Total Cost of Worker Transition</w:t>
      </w:r>
    </w:p>
    <w:p>
      <w:pPr>
        <w:spacing w:after="200" w:line="320"/>
        <w:jc w:val="both"/>
      </w:pPr>
      <w:r>
        <w:rPr>
          <w:rFonts w:ascii="Georgia" w:cs="Georgia" w:eastAsia="Georgia" w:hAnsi="Georgia"/>
          <w:color w:val="1A1A1A"/>
          <w:sz w:val="22"/>
          <w:szCs w:val="22"/>
        </w:rPr>
        <w:t xml:space="preserve">The Administrative Worker Transition Program's total annual cost during peak transition years (Years 5-12) is estimated at $40-60B. This is approximately 3-4% of total healthcare savings, deliberately funded as a first-priority allocation from savings rather than treated as a residual after other priorities. The platform's commitment is that healthcare workers who lose positions due to healthcare reform are protected before the platform's other compound benefits are funded.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“Four hundred thousand workers will lose their jobs because of this reform. Saying that out loud is what makes the platform credible. Funding their transition properly is what makes it justifiable.”</w:t>
            </w:r>
          </w:p>
        </w:tc>
      </w:tr>
    </w:tbl>
    <w:p>
      <w:r>
        <w:br w:type="page"/>
      </w:r>
    </w:p>
    <w:p>
      <w:pPr>
        <w:pStyle w:val="Heading1"/>
        <w:spacing w:after="240" w:before="480"/>
      </w:pPr>
      <w:r>
        <w:rPr>
          <w:rFonts w:ascii="Arial" w:cs="Arial" w:eastAsia="Arial" w:hAnsi="Arial"/>
          <w:b/>
          <w:bCs/>
          <w:color w:val="1F4E78"/>
          <w:sz w:val="36"/>
          <w:szCs w:val="36"/>
        </w:rPr>
        <w:t xml:space="preserve">Component 4: Specialist Practice Transition</w:t>
      </w:r>
    </w:p>
    <w:p>
      <w:pPr>
        <w:spacing w:after="240" w:line="340"/>
        <w:jc w:val="both"/>
      </w:pPr>
      <w:r>
        <w:rPr>
          <w:rFonts w:ascii="Georgia" w:cs="Georgia" w:eastAsia="Georgia" w:hAnsi="Georgia"/>
          <w:color w:val="1A1A1A"/>
          <w:sz w:val="24"/>
          <w:szCs w:val="24"/>
        </w:rPr>
        <w:t xml:space="preserve">US medical specialist compensation is significantly higher than comparable specialist compensation in peer nations. Aggressive cost containment will reduce specialist incomes substantially, particularly for procedural specialists in high-saturation markets. Without managed transition, this produces unintended consequences: specialist concentration in already-saturated areas, reduced specialist availability in underserved areas, and reduced incentives for medical students to enter specialties the platform actually needs.</w:t>
      </w:r>
    </w:p>
    <w:p>
      <w:pPr>
        <w:pStyle w:val="Heading2"/>
        <w:spacing w:after="160" w:before="360"/>
      </w:pPr>
      <w:r>
        <w:rPr>
          <w:rFonts w:ascii="Arial" w:cs="Arial" w:eastAsia="Arial" w:hAnsi="Arial"/>
          <w:b/>
          <w:bCs/>
          <w:color w:val="1F4E78"/>
          <w:sz w:val="28"/>
          <w:szCs w:val="28"/>
        </w:rPr>
        <w:t xml:space="preserve">The Compensation Gap</w:t>
      </w:r>
    </w:p>
    <w:p>
      <w:pPr>
        <w:spacing w:after="200" w:line="320"/>
        <w:jc w:val="both"/>
      </w:pPr>
      <w:r>
        <w:rPr>
          <w:rFonts w:ascii="Georgia" w:cs="Georgia" w:eastAsia="Georgia" w:hAnsi="Georgia"/>
          <w:color w:val="1A1A1A"/>
          <w:sz w:val="22"/>
          <w:szCs w:val="22"/>
        </w:rPr>
        <w:t xml:space="preserve">Average annual compensation for US specialists varies by specialty but exceeds peer-nation compensation by 50-150% across most procedural specialties. Cardiologists, orthopedic surgeons, dermatologists, and other high-compensation specialties earn $400K-$700K+ in the current US system versus $150K-$300K in comparable European systems. The cost containment under universal healthcare will reduce US specialist compensation toward (but not necessarily to) peer-nation levels.</w:t>
      </w:r>
    </w:p>
    <w:p>
      <w:pPr>
        <w:pStyle w:val="Heading2"/>
        <w:spacing w:after="160" w:before="360"/>
      </w:pPr>
      <w:r>
        <w:rPr>
          <w:rFonts w:ascii="Arial" w:cs="Arial" w:eastAsia="Arial" w:hAnsi="Arial"/>
          <w:b/>
          <w:bCs/>
          <w:color w:val="1F4E78"/>
          <w:sz w:val="28"/>
          <w:szCs w:val="28"/>
        </w:rPr>
        <w:t xml:space="preserve">Voluntary Buyout Program</w:t>
      </w:r>
    </w:p>
    <w:p>
      <w:pPr>
        <w:spacing w:after="200" w:line="320"/>
        <w:jc w:val="both"/>
      </w:pPr>
      <w:r>
        <w:rPr>
          <w:rFonts w:ascii="Georgia" w:cs="Georgia" w:eastAsia="Georgia" w:hAnsi="Georgia"/>
          <w:color w:val="1A1A1A"/>
          <w:sz w:val="22"/>
          <w:szCs w:val="22"/>
        </w:rPr>
        <w:t xml:space="preserve">Specialists in high-saturation markets (where specialist supply substantially exceeds demand at universal-access pricing levels) can opt into a voluntary buyout program. The program offers a one-time payment equivalent to 3-5 years of expected compensation reduction in exchange for a 10-year non-compete in that geographic specialty market. This creates a structured exit path for specialists who don't want to practice at reduced compensation, while reducing the saturation that drives compensation downward.</w:t>
      </w:r>
    </w:p>
    <w:p>
      <w:pPr>
        <w:spacing w:after="200" w:line="320"/>
        <w:jc w:val="both"/>
      </w:pPr>
      <w:r>
        <w:rPr>
          <w:rFonts w:ascii="Georgia" w:cs="Georgia" w:eastAsia="Georgia" w:hAnsi="Georgia"/>
          <w:color w:val="1A1A1A"/>
          <w:sz w:val="22"/>
          <w:szCs w:val="22"/>
        </w:rPr>
        <w:t xml:space="preserve">The buyout program is voluntary because forced specialist retirement is both illegal and counterproductive. The program is funded by a portion of the savings generated through reduced specialist compensation, making it self-financing. Specialists who decline the buyout continue practicing at adjusted compensation levels comparable to but somewhat higher than peer-nation specialists.</w:t>
      </w:r>
    </w:p>
    <w:p>
      <w:pPr>
        <w:pStyle w:val="Heading2"/>
        <w:spacing w:after="160" w:before="360"/>
      </w:pPr>
      <w:r>
        <w:rPr>
          <w:rFonts w:ascii="Arial" w:cs="Arial" w:eastAsia="Arial" w:hAnsi="Arial"/>
          <w:b/>
          <w:bCs/>
          <w:color w:val="1F4E78"/>
          <w:sz w:val="28"/>
          <w:szCs w:val="28"/>
        </w:rPr>
        <w:t xml:space="preserve">Geographic Redistribution Incentives</w:t>
      </w:r>
    </w:p>
    <w:p>
      <w:pPr>
        <w:spacing w:after="200" w:line="320"/>
        <w:jc w:val="both"/>
      </w:pPr>
      <w:r>
        <w:rPr>
          <w:rFonts w:ascii="Georgia" w:cs="Georgia" w:eastAsia="Georgia" w:hAnsi="Georgia"/>
          <w:color w:val="1A1A1A"/>
          <w:sz w:val="22"/>
          <w:szCs w:val="22"/>
        </w:rPr>
        <w:t xml:space="preserve">The compensation gap between high-saturation and underserved areas creates structural opportunity. Specialists willing to relocate to underserved areas (rural areas, smaller cities, specific underserved urban neighborhoods) receive enhanced compensation that maintains or exceeds current levels. This converts the cost containment into geographic redistribution: specialists in saturated markets see compensation reduction, while specialists serving underserved areas see compensation preservation or increase.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Geographic redistribution components</w:t>
            </w:r>
          </w:p>
          <w:p>
            <w:pPr>
              <w:spacing w:after="100" w:line="280"/>
            </w:pPr>
            <w:r>
              <w:rPr>
                <w:rFonts w:ascii="Georgia" w:cs="Georgia" w:eastAsia="Georgia" w:hAnsi="Georgia"/>
                <w:color w:val="1A1A1A"/>
                <w:sz w:val="21"/>
                <w:szCs w:val="21"/>
              </w:rPr>
              <w:t xml:space="preserve">•  Compensation premium of 25-50% above standard universal-access rates for specialists serving designated underserved areas.</w:t>
            </w:r>
          </w:p>
          <w:p>
            <w:pPr>
              <w:spacing w:after="100" w:line="280"/>
            </w:pPr>
            <w:r>
              <w:rPr>
                <w:rFonts w:ascii="Georgia" w:cs="Georgia" w:eastAsia="Georgia" w:hAnsi="Georgia"/>
                <w:color w:val="1A1A1A"/>
                <w:sz w:val="21"/>
                <w:szCs w:val="21"/>
              </w:rPr>
              <w:t xml:space="preserve">•  Loan forgiveness for medical school debt (which currently averages $250K+) for specialists committing to 5-year service in underserved areas.</w:t>
            </w:r>
          </w:p>
          <w:p>
            <w:pPr>
              <w:spacing w:after="100" w:line="280"/>
            </w:pPr>
            <w:r>
              <w:rPr>
                <w:rFonts w:ascii="Georgia" w:cs="Georgia" w:eastAsia="Georgia" w:hAnsi="Georgia"/>
                <w:color w:val="1A1A1A"/>
                <w:sz w:val="21"/>
                <w:szCs w:val="21"/>
              </w:rPr>
              <w:t xml:space="preserve">•  Housing assistance and relocation support for specialists and their families.</w:t>
            </w:r>
          </w:p>
          <w:p>
            <w:pPr>
              <w:spacing w:after="100" w:line="280"/>
            </w:pPr>
            <w:r>
              <w:rPr>
                <w:rFonts w:ascii="Georgia" w:cs="Georgia" w:eastAsia="Georgia" w:hAnsi="Georgia"/>
                <w:color w:val="1A1A1A"/>
                <w:sz w:val="21"/>
                <w:szCs w:val="21"/>
              </w:rPr>
              <w:t xml:space="preserve">•  Practice infrastructure support: subsidized rent, equipment financing, and electronic health record systems for specialists establishing practices in underserved areas.</w:t>
            </w:r>
          </w:p>
          <w:p>
            <w:pPr>
              <w:spacing w:after="100" w:line="280"/>
            </w:pPr>
            <w:r>
              <w:rPr>
                <w:rFonts w:ascii="Georgia" w:cs="Georgia" w:eastAsia="Georgia" w:hAnsi="Georgia"/>
                <w:color w:val="1A1A1A"/>
                <w:sz w:val="21"/>
                <w:szCs w:val="21"/>
              </w:rPr>
              <w:t xml:space="preserve">•  Telehealth infrastructure that allows specialists to extend their reach across multiple underserved areas while maintaining a primary practice location.</w:t>
            </w:r>
          </w:p>
          <w:p>
            <w:pPr>
              <w:spacing w:after="100" w:line="280"/>
            </w:pPr>
            <w:r>
              <w:rPr>
                <w:rFonts w:ascii="Georgia" w:cs="Georgia" w:eastAsia="Georgia" w:hAnsi="Georgia"/>
                <w:color w:val="1A1A1A"/>
                <w:sz w:val="21"/>
                <w:szCs w:val="21"/>
              </w:rPr>
              <w:t xml:space="preserve">•  Spouse employment support for specialists relocating, recognizing that family economic considerations often drive geographic decisions.</w:t>
            </w:r>
          </w:p>
        </w:tc>
      </w:tr>
    </w:tbl>
    <w:p>
      <w:pPr>
        <w:pStyle w:val="Heading2"/>
        <w:spacing w:after="160" w:before="360"/>
      </w:pPr>
      <w:r>
        <w:rPr>
          <w:rFonts w:ascii="Arial" w:cs="Arial" w:eastAsia="Arial" w:hAnsi="Arial"/>
          <w:b/>
          <w:bCs/>
          <w:color w:val="1F4E78"/>
          <w:sz w:val="28"/>
          <w:szCs w:val="28"/>
        </w:rPr>
        <w:t xml:space="preserve">Specialty Pipeline Considerations</w:t>
      </w:r>
    </w:p>
    <w:p>
      <w:pPr>
        <w:spacing w:after="200" w:line="320"/>
        <w:jc w:val="both"/>
      </w:pPr>
      <w:r>
        <w:rPr>
          <w:rFonts w:ascii="Georgia" w:cs="Georgia" w:eastAsia="Georgia" w:hAnsi="Georgia"/>
          <w:color w:val="1A1A1A"/>
          <w:sz w:val="22"/>
          <w:szCs w:val="22"/>
        </w:rPr>
        <w:t xml:space="preserve">Reduced specialist compensation reduces the financial incentive for medical students to enter specialty training. This is partially desirable (the US has too many cardiologists relative to primary care physicians) but partially problematic (the US has too few of certain specialists like geriatricians and infectious disease specialists). The transition plan includes targeted pipeline support for specialties the platform actually needs while allowing market signals to reduce supply in saturated specialties.</w:t>
      </w:r>
    </w:p>
    <w:p>
      <w:pPr>
        <w:spacing w:after="200" w:line="320"/>
        <w:jc w:val="both"/>
      </w:pPr>
      <w:r>
        <w:rPr>
          <w:rFonts w:ascii="Georgia" w:cs="Georgia" w:eastAsia="Georgia" w:hAnsi="Georgia"/>
          <w:color w:val="1A1A1A"/>
          <w:sz w:val="22"/>
          <w:szCs w:val="22"/>
        </w:rPr>
        <w:t xml:space="preserve">Pipeline support includes Sovereign Education Fund priority access for medical students entering needed specialties, additional loan forgiveness for those specialties, and structured residency support that doesn't depend on hospital revenue from procedural specialists subsidizing primary care training. This last point matters: the current system's training infrastructure is partially funded by procedural specialist revenue. As that revenue declines, training infrastructure must be funded directly through targeted federal investment.</w:t>
      </w:r>
    </w:p>
    <w:p>
      <w:pPr>
        <w:pStyle w:val="Heading2"/>
        <w:spacing w:after="160" w:before="360"/>
      </w:pPr>
      <w:r>
        <w:rPr>
          <w:rFonts w:ascii="Arial" w:cs="Arial" w:eastAsia="Arial" w:hAnsi="Arial"/>
          <w:b/>
          <w:bCs/>
          <w:color w:val="1F4E78"/>
          <w:sz w:val="28"/>
          <w:szCs w:val="28"/>
        </w:rPr>
        <w:t xml:space="preserve">Honest Acknowledgment of Specialist Resistance</w:t>
      </w:r>
    </w:p>
    <w:p>
      <w:pPr>
        <w:spacing w:after="200" w:line="320"/>
        <w:jc w:val="both"/>
      </w:pPr>
      <w:r>
        <w:rPr>
          <w:rFonts w:ascii="Georgia" w:cs="Georgia" w:eastAsia="Georgia" w:hAnsi="Georgia"/>
          <w:color w:val="1A1A1A"/>
          <w:sz w:val="22"/>
          <w:szCs w:val="22"/>
        </w:rPr>
        <w:t xml:space="preserve">Specialists will oppose this transition. They have substantial political resources (high-income individuals organized through professional associations with effective lobbying), and their opposition will be amplified by the broader medical lobby. The platform's response is not to deny the resistance but to articulate that the proposed transition includes substantial support: voluntary buyouts for those who want exits, geographic redistribution incentives for those who want to continue practicing at preserved compensation, and pipeline support for the specialty areas the country actually needs.</w:t>
      </w:r>
    </w:p>
    <w:p>
      <w:pPr>
        <w:spacing w:after="200" w:line="320"/>
        <w:jc w:val="both"/>
      </w:pPr>
      <w:r>
        <w:rPr>
          <w:rFonts w:ascii="Georgia" w:cs="Georgia" w:eastAsia="Georgia" w:hAnsi="Georgia"/>
          <w:color w:val="1A1A1A"/>
          <w:sz w:val="22"/>
          <w:szCs w:val="22"/>
        </w:rPr>
        <w:t>The platform's broader argument: current US specialist compensation is sustained by a system that costs Americans $1.7 trillion more per year than necessary, much of that paid through insurance premiums and out-of-pocket costs that constrain household budgets. The transition asks specialists to participate in a system that produces lower individual compensation but better population outcomes. This is a real ask and reasonable people will disagree about whether it's justified. The platform takes the position that it is.  (Source baseline: see Sources_And_Derivation_Convention.docx.)</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“Specialists will see their incomes reduced. The transition makes that reduction structured rather than chaotic, with voluntary buyouts and geographic redistribution incentives that preserve options for those willing to adapt.”</w:t>
            </w:r>
          </w:p>
        </w:tc>
      </w:tr>
    </w:tbl>
    <w:p>
      <w:r>
        <w:br w:type="page"/>
      </w:r>
    </w:p>
    <w:p>
      <w:pPr>
        <w:pStyle w:val="Heading1"/>
        <w:spacing w:after="240" w:before="480"/>
      </w:pPr>
      <w:r>
        <w:rPr>
          <w:rFonts w:ascii="Arial" w:cs="Arial" w:eastAsia="Arial" w:hAnsi="Arial"/>
          <w:b/>
          <w:bCs/>
          <w:color w:val="1F4E78"/>
          <w:sz w:val="36"/>
          <w:szCs w:val="36"/>
        </w:rPr>
        <w:t xml:space="preserve">Component 5: Pharmaceutical Innovation Continuity</w:t>
      </w:r>
    </w:p>
    <w:p>
      <w:pPr>
        <w:spacing w:after="240" w:line="340"/>
        <w:jc w:val="both"/>
      </w:pPr>
      <w:r>
        <w:rPr>
          <w:rFonts w:ascii="Georgia" w:cs="Georgia" w:eastAsia="Georgia" w:hAnsi="Georgia"/>
          <w:color w:val="1A1A1A"/>
          <w:sz w:val="24"/>
          <w:szCs w:val="24"/>
        </w:rPr>
        <w:t xml:space="preserve">The US currently pays substantially more for pharmaceuticals than any other developed nation, and this premium funds a substantial portion of global pharmaceutical innovation investment. Aggressive price negotiation under universal healthcare reduces pharmaceutical company revenue and may reduce innovation investment. The transition plan must address this reality without either (a) preserving current pricing that costs Americans hundreds of billions annually, or (b) eliminating innovation incentives entirely.</w:t>
      </w:r>
    </w:p>
    <w:p>
      <w:pPr>
        <w:pStyle w:val="Heading2"/>
        <w:spacing w:after="160" w:before="360"/>
      </w:pPr>
      <w:r>
        <w:rPr>
          <w:rFonts w:ascii="Arial" w:cs="Arial" w:eastAsia="Arial" w:hAnsi="Arial"/>
          <w:b/>
          <w:bCs/>
          <w:color w:val="1F4E78"/>
          <w:sz w:val="28"/>
          <w:szCs w:val="28"/>
        </w:rPr>
        <w:t xml:space="preserve">The Innovation Question</w:t>
      </w:r>
    </w:p>
    <w:p>
      <w:pPr>
        <w:spacing w:after="200" w:line="320"/>
        <w:jc w:val="both"/>
      </w:pPr>
      <w:r>
        <w:rPr>
          <w:rFonts w:ascii="Georgia" w:cs="Georgia" w:eastAsia="Georgia" w:hAnsi="Georgia"/>
          <w:color w:val="1A1A1A"/>
          <w:sz w:val="22"/>
          <w:szCs w:val="22"/>
        </w:rPr>
        <w:t xml:space="preserve">Pharmaceutical companies argue that high US prices fund the research that produces new drugs. The argument is partially true: substantial profitability is required to fund the high-failure-rate, decade-long drug development process. The argument is also partially overstated: significant pharmaceutical R&amp;D is funded by NIH grants, university research, and venture capital separate from pharmaceutical company internal R&amp;D budgets. The transition plan addresses both realities.</w:t>
      </w:r>
    </w:p>
    <w:p>
      <w:pPr>
        <w:pStyle w:val="Heading2"/>
        <w:spacing w:after="160" w:before="360"/>
      </w:pPr>
      <w:r>
        <w:rPr>
          <w:rFonts w:ascii="Arial" w:cs="Arial" w:eastAsia="Arial" w:hAnsi="Arial"/>
          <w:b/>
          <w:bCs/>
          <w:color w:val="1F4E78"/>
          <w:sz w:val="28"/>
          <w:szCs w:val="28"/>
        </w:rPr>
        <w:t xml:space="preserve">Pharmaceutical Pricing Structure Under Transition</w:t>
      </w:r>
    </w:p>
    <w:p>
      <w:pPr>
        <w:spacing w:after="200" w:line="320"/>
        <w:jc w:val="both"/>
      </w:pPr>
      <w:r>
        <w:rPr>
          <w:rFonts w:ascii="Georgia" w:cs="Georgia" w:eastAsia="Georgia" w:hAnsi="Georgia"/>
          <w:color w:val="1A1A1A"/>
          <w:sz w:val="22"/>
          <w:szCs w:val="22"/>
        </w:rPr>
        <w:t xml:space="preserve">The transition plan establishes pharmaceutical pricing that approximates a weighted average of peer-nation prices rather than current US prices. This produces savings of approximately $200-300B annually at full implementation. The pricing structure includes: (a) reference pricing tied to peer-nation prices for established medications, (b) value-based pricing for innovative medications based on demonstrated clinical effectiveness, (c) enhanced rebates for medications used at high volumes, and (d) preserved pricing premiums for genuinely novel mechanisms during their patent period.</w:t>
      </w:r>
    </w:p>
    <w:p>
      <w:pPr>
        <w:pStyle w:val="Heading2"/>
        <w:spacing w:after="160" w:before="360"/>
      </w:pPr>
      <w:r>
        <w:rPr>
          <w:rFonts w:ascii="Arial" w:cs="Arial" w:eastAsia="Arial" w:hAnsi="Arial"/>
          <w:b/>
          <w:bCs/>
          <w:color w:val="1F4E78"/>
          <w:sz w:val="28"/>
          <w:szCs w:val="28"/>
        </w:rPr>
        <w:t xml:space="preserve">Innovation Continuity Fund</w:t>
      </w:r>
    </w:p>
    <w:p>
      <w:pPr>
        <w:spacing w:after="200" w:line="320"/>
        <w:jc w:val="both"/>
      </w:pPr>
      <w:r>
        <w:rPr>
          <w:rFonts w:ascii="Georgia" w:cs="Georgia" w:eastAsia="Georgia" w:hAnsi="Georgia"/>
          <w:color w:val="1A1A1A"/>
          <w:sz w:val="22"/>
          <w:szCs w:val="22"/>
        </w:rPr>
        <w:t xml:space="preserve">A portion of pharmaceutical savings (approximately $50-75B annually, or 25% of pharmaceutical-specific savings) is reinvested in pharmaceutical innovation through expanded NIH funding, ARPA-H grants, and university research partnerships. This produces an alternative innovation funding mechanism that doesn't depend on extracting premium prices from American patients.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Innovation Continuity Fund priorities</w:t>
            </w:r>
          </w:p>
          <w:p>
            <w:pPr>
              <w:spacing w:after="100" w:line="280"/>
            </w:pPr>
            <w:r>
              <w:rPr>
                <w:rFonts w:ascii="Georgia" w:cs="Georgia" w:eastAsia="Georgia" w:hAnsi="Georgia"/>
                <w:color w:val="1A1A1A"/>
                <w:sz w:val="21"/>
                <w:szCs w:val="21"/>
              </w:rPr>
              <w:t xml:space="preserve">•  Disease areas with substantial unmet need: rare diseases, antimicrobial resistance, neurological diseases (especially dementias), and pediatric cancers.</w:t>
            </w:r>
          </w:p>
          <w:p>
            <w:pPr>
              <w:spacing w:after="100" w:line="280"/>
            </w:pPr>
            <w:r>
              <w:rPr>
                <w:rFonts w:ascii="Georgia" w:cs="Georgia" w:eastAsia="Georgia" w:hAnsi="Georgia"/>
                <w:color w:val="1A1A1A"/>
                <w:sz w:val="21"/>
                <w:szCs w:val="21"/>
              </w:rPr>
              <w:t xml:space="preserve">•  High-risk early-stage research that pharmaceutical companies cannot economically pursue: novel mechanisms, foundational science, and rare-disease therapeutics.</w:t>
            </w:r>
          </w:p>
          <w:p>
            <w:pPr>
              <w:spacing w:after="100" w:line="280"/>
            </w:pPr>
            <w:r>
              <w:rPr>
                <w:rFonts w:ascii="Georgia" w:cs="Georgia" w:eastAsia="Georgia" w:hAnsi="Georgia"/>
                <w:color w:val="1A1A1A"/>
                <w:sz w:val="21"/>
                <w:szCs w:val="21"/>
              </w:rPr>
              <w:t xml:space="preserve">•  Infrastructure for clinical trial execution: trial network expansion, real-world evidence systems, and adaptive trial methodology development.</w:t>
            </w:r>
          </w:p>
          <w:p>
            <w:pPr>
              <w:spacing w:after="100" w:line="280"/>
            </w:pPr>
            <w:r>
              <w:rPr>
                <w:rFonts w:ascii="Georgia" w:cs="Georgia" w:eastAsia="Georgia" w:hAnsi="Georgia"/>
                <w:color w:val="1A1A1A"/>
                <w:sz w:val="21"/>
                <w:szCs w:val="21"/>
              </w:rPr>
              <w:t xml:space="preserve">•  International coordination on pricing: working with peer nations to establish coordinated pricing that prevents US patients from disproportionately funding global innovation.</w:t>
            </w:r>
          </w:p>
          <w:p>
            <w:pPr>
              <w:spacing w:after="100" w:line="280"/>
            </w:pPr>
            <w:r>
              <w:rPr>
                <w:rFonts w:ascii="Georgia" w:cs="Georgia" w:eastAsia="Georgia" w:hAnsi="Georgia"/>
                <w:color w:val="1A1A1A"/>
                <w:sz w:val="21"/>
                <w:szCs w:val="21"/>
              </w:rPr>
              <w:t xml:space="preserve">•  Manufacturing capacity for essential medications: addressing drug shortages that arise when pure market signals don't justify low-margin manufacturing.</w:t>
            </w:r>
          </w:p>
          <w:p>
            <w:pPr>
              <w:spacing w:after="100" w:line="280"/>
            </w:pPr>
            <w:r>
              <w:rPr>
                <w:rFonts w:ascii="Georgia" w:cs="Georgia" w:eastAsia="Georgia" w:hAnsi="Georgia"/>
                <w:color w:val="1A1A1A"/>
                <w:sz w:val="21"/>
                <w:szCs w:val="21"/>
              </w:rPr>
              <w:t xml:space="preserve">•  Generic and biosimilar development: ensuring rapid generic entry after patent expiration to maximize savings from established medications.</w:t>
            </w:r>
          </w:p>
        </w:tc>
      </w:tr>
    </w:tbl>
    <w:p>
      <w:pPr>
        <w:pStyle w:val="Heading2"/>
        <w:spacing w:after="160" w:before="360"/>
      </w:pPr>
      <w:r>
        <w:rPr>
          <w:rFonts w:ascii="Arial" w:cs="Arial" w:eastAsia="Arial" w:hAnsi="Arial"/>
          <w:b/>
          <w:bCs/>
          <w:color w:val="1F4E78"/>
          <w:sz w:val="28"/>
          <w:szCs w:val="28"/>
        </w:rPr>
        <w:t xml:space="preserve">International Coordination on Pricing</w:t>
      </w:r>
    </w:p>
    <w:p>
      <w:pPr>
        <w:spacing w:after="200" w:line="320"/>
        <w:jc w:val="both"/>
      </w:pPr>
      <w:r>
        <w:rPr>
          <w:rFonts w:ascii="Georgia" w:cs="Georgia" w:eastAsia="Georgia" w:hAnsi="Georgia"/>
          <w:color w:val="1A1A1A"/>
          <w:sz w:val="22"/>
          <w:szCs w:val="22"/>
        </w:rPr>
        <w:t xml:space="preserve">The platform's strongest pharmaceutical pricing strategy is international coordination. Currently, US patients fund a disproportionate share of global pharmaceutical innovation through high prices while patients in peer nations fund less. International coordination would distribute innovation costs more equitably across developed nations, reducing the share Americans bear without reducing total innovation funding.</w:t>
      </w:r>
    </w:p>
    <w:p>
      <w:pPr>
        <w:spacing w:after="200" w:line="320"/>
        <w:jc w:val="both"/>
      </w:pPr>
      <w:r>
        <w:rPr>
          <w:rFonts w:ascii="Georgia" w:cs="Georgia" w:eastAsia="Georgia" w:hAnsi="Georgia"/>
          <w:color w:val="1A1A1A"/>
          <w:sz w:val="22"/>
          <w:szCs w:val="22"/>
        </w:rPr>
        <w:t xml:space="preserve">This coordination requires diplomatic negotiation that the platform itself cannot conduct. The transition plan includes the explicit acknowledgment that international coordination is desirable, would substantially improve outcomes if achieved, and depends on factors beyond the platform's control. The platform's domestic pricing structure is designed to be effective even without international coordination, with international coordination as an additional optimization.</w:t>
      </w:r>
    </w:p>
    <w:p>
      <w:pPr>
        <w:pStyle w:val="Heading2"/>
        <w:spacing w:after="160" w:before="360"/>
      </w:pPr>
      <w:r>
        <w:rPr>
          <w:rFonts w:ascii="Arial" w:cs="Arial" w:eastAsia="Arial" w:hAnsi="Arial"/>
          <w:b/>
          <w:bCs/>
          <w:color w:val="1F4E78"/>
          <w:sz w:val="28"/>
          <w:szCs w:val="28"/>
        </w:rPr>
        <w:t xml:space="preserve">Novel Therapeutic Premium Pricing</w:t>
      </w:r>
    </w:p>
    <w:p>
      <w:pPr>
        <w:spacing w:after="200" w:line="320"/>
        <w:jc w:val="both"/>
      </w:pPr>
      <w:r>
        <w:rPr>
          <w:rFonts w:ascii="Georgia" w:cs="Georgia" w:eastAsia="Georgia" w:hAnsi="Georgia"/>
          <w:color w:val="1A1A1A"/>
          <w:sz w:val="22"/>
          <w:szCs w:val="22"/>
        </w:rPr>
        <w:t xml:space="preserve">Genuinely novel medications (new mechanisms, breakthrough therapies for previously untreatable conditions, first-in-class therapeutics) receive premium pricing during their patent period. The premium reflects the value of innovation while maintaining incentives for pharmaceutical companies to pursue genuinely novel approaches rather than incremental improvements to existing therapies. The premium structure is value-based: pricing tied to demonstrated clinical effectiveness rather than to whatever the market will bear.</w:t>
      </w:r>
    </w:p>
    <w:p>
      <w:pPr>
        <w:pStyle w:val="Heading2"/>
        <w:spacing w:after="160" w:before="360"/>
      </w:pPr>
      <w:r>
        <w:rPr>
          <w:rFonts w:ascii="Arial" w:cs="Arial" w:eastAsia="Arial" w:hAnsi="Arial"/>
          <w:b/>
          <w:bCs/>
          <w:color w:val="1F4E78"/>
          <w:sz w:val="28"/>
          <w:szCs w:val="28"/>
        </w:rPr>
        <w:t xml:space="preserve">Compulsory Licensing as Backstop</w:t>
      </w:r>
    </w:p>
    <w:p>
      <w:pPr>
        <w:spacing w:after="200" w:line="320"/>
        <w:jc w:val="both"/>
      </w:pPr>
      <w:r>
        <w:rPr>
          <w:rFonts w:ascii="Georgia" w:cs="Georgia" w:eastAsia="Georgia" w:hAnsi="Georgia"/>
          <w:color w:val="1A1A1A"/>
          <w:sz w:val="22"/>
          <w:szCs w:val="22"/>
        </w:rPr>
        <w:t xml:space="preserve">The transition plan retains compulsory licensing authority for situations where pharmaceutical companies refuse to negotiate in good faith. The authority is rarely used in peer nations because its mere existence creates negotiating leverage. The US currently has limited compulsory licensing authority; the transition plan expands this to align with peer-nation norms. Companies that negotiate in good faith never face compulsory licensing; companies that refuse face it as a structural backstop ensuring American patients have access to needed medications.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“Drug companies say they need US premium prices to fund innovation. The transition plan accepts this argument partially: it preserves premium pricing for genuine novelty while reducing it for incremental improvements, and it builds alternative innovation funding through public investment in the research pharmaceutical companies don't economically pursue.”</w:t>
            </w:r>
          </w:p>
        </w:tc>
      </w:tr>
    </w:tbl>
    <w:p>
      <w:r>
        <w:br w:type="page"/>
      </w:r>
    </w:p>
    <w:p>
      <w:pPr>
        <w:pStyle w:val="Heading1"/>
        <w:spacing w:after="240" w:before="480"/>
      </w:pPr>
      <w:r>
        <w:rPr>
          <w:rFonts w:ascii="Arial" w:cs="Arial" w:eastAsia="Arial" w:hAnsi="Arial"/>
          <w:b/>
          <w:bCs/>
          <w:color w:val="1F4E78"/>
          <w:sz w:val="36"/>
          <w:szCs w:val="36"/>
        </w:rPr>
        <w:t xml:space="preserve">Political Opposition and What to Do About It</w:t>
      </w:r>
    </w:p>
    <w:p>
      <w:pPr>
        <w:spacing w:after="240" w:line="340"/>
        <w:jc w:val="both"/>
      </w:pPr>
      <w:r>
        <w:rPr>
          <w:rFonts w:ascii="Georgia" w:cs="Georgia" w:eastAsia="Georgia" w:hAnsi="Georgia"/>
          <w:color w:val="1A1A1A"/>
          <w:sz w:val="24"/>
          <w:szCs w:val="24"/>
        </w:rPr>
        <w:t xml:space="preserve">The healthcare industry is the largest lobby in Washington. The transition plan above is detailed and thoughtful and the industry will still oppose it because the transition reduces industry revenue. The platform must be clear-eyed about the opposition and prepared for sustained political work over multiple election cycles.</w:t>
      </w:r>
    </w:p>
    <w:p>
      <w:pPr>
        <w:pStyle w:val="Heading2"/>
        <w:spacing w:after="160" w:before="360"/>
      </w:pPr>
      <w:r>
        <w:rPr>
          <w:rFonts w:ascii="Arial" w:cs="Arial" w:eastAsia="Arial" w:hAnsi="Arial"/>
          <w:b/>
          <w:bCs/>
          <w:color w:val="1F4E78"/>
          <w:sz w:val="28"/>
          <w:szCs w:val="28"/>
        </w:rPr>
        <w:t xml:space="preserve">Who Opposes and Why</w:t>
      </w:r>
    </w:p>
    <w:p>
      <w:pPr>
        <w:spacing w:after="200" w:line="320"/>
        <w:jc w:val="both"/>
      </w:pPr>
      <w:r>
        <w:rPr>
          <w:rFonts w:ascii="Georgia" w:cs="Georgia" w:eastAsia="Georgia" w:hAnsi="Georgia"/>
          <w:color w:val="1A1A1A"/>
          <w:sz w:val="22"/>
          <w:szCs w:val="22"/>
        </w:rPr>
        <w:t xml:space="preserve">Healthcare opposition includes several categorically distinct groups with different motivations: (1) pharmaceutical companies opposing price negotiation, (2) insurance companies opposing the multi-payer structure that eliminates much of their administrative function, (3) hospital systems opposing rate negotiations that reduce revenue, (4) specialist physicians opposing compensation reductions, (5) administrative workers opposing job displacement, and (6) ideological opponents of universal healthcare regardless of design specifics.</w:t>
      </w:r>
    </w:p>
    <w:p>
      <w:pPr>
        <w:spacing w:after="200" w:line="320"/>
        <w:jc w:val="both"/>
      </w:pPr>
      <w:r>
        <w:rPr>
          <w:rFonts w:ascii="Georgia" w:cs="Georgia" w:eastAsia="Georgia" w:hAnsi="Georgia"/>
          <w:color w:val="1A1A1A"/>
          <w:sz w:val="22"/>
          <w:szCs w:val="22"/>
        </w:rPr>
        <w:t xml:space="preserve">Each group requires different engagement. Pharmaceutical companies can be partially addressed through the Innovation Continuity Fund and value-based novel pricing. Insurance companies cannot be addressed through compromise; their core function is eliminated by the transition, and the transition program supports their workers rather than their corporate continuation. Hospital systems are addressed through the Rural Hospital Protection Program and the 15-year glide path. Specialist physicians are addressed through voluntary buyouts and geographic redistribution. Administrative workers are addressed through the Administrative Worker Transition Program. Ideological opponents are not the audience for transition design; they're the audience for the broader political work.</w:t>
      </w:r>
    </w:p>
    <w:p>
      <w:pPr>
        <w:pStyle w:val="Heading2"/>
        <w:spacing w:after="160" w:before="360"/>
      </w:pPr>
      <w:r>
        <w:rPr>
          <w:rFonts w:ascii="Arial" w:cs="Arial" w:eastAsia="Arial" w:hAnsi="Arial"/>
          <w:b/>
          <w:bCs/>
          <w:color w:val="1F4E78"/>
          <w:sz w:val="28"/>
          <w:szCs w:val="28"/>
        </w:rPr>
        <w:t xml:space="preserve">Why Thoughtful Design Still Matters</w:t>
      </w:r>
    </w:p>
    <w:p>
      <w:pPr>
        <w:spacing w:after="200" w:line="320"/>
        <w:jc w:val="both"/>
      </w:pPr>
      <w:r>
        <w:rPr>
          <w:rFonts w:ascii="Georgia" w:cs="Georgia" w:eastAsia="Georgia" w:hAnsi="Georgia"/>
          <w:color w:val="1A1A1A"/>
          <w:sz w:val="22"/>
          <w:szCs w:val="22"/>
        </w:rPr>
        <w:t xml:space="preserve">Even when opposition is unavoidable, thoughtful transition design changes the political dynamic. When the only argument available to opponents is “we want to keep our $1.7T per year revenue,” voters can recognize the argument for what it is. When the platform's transition design includes specific protections for rural communities, displaced workers, and other affected groups, opponents lose the ability to argue that reform harms vulnerable populations. The transition plan's specificity converts vague “this will hurt people” opposition into specific policy debates that can be won.</w:t>
      </w:r>
    </w:p>
    <w:p>
      <w:pPr>
        <w:pStyle w:val="Heading2"/>
        <w:spacing w:after="160" w:before="360"/>
      </w:pPr>
      <w:r>
        <w:rPr>
          <w:rFonts w:ascii="Arial" w:cs="Arial" w:eastAsia="Arial" w:hAnsi="Arial"/>
          <w:b/>
          <w:bCs/>
          <w:color w:val="1F4E78"/>
          <w:sz w:val="28"/>
          <w:szCs w:val="28"/>
        </w:rPr>
        <w:t xml:space="preserve">The Political Coalition the Platform Needs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Constituencies the platform must engage</w:t>
            </w:r>
          </w:p>
          <w:p>
            <w:pPr>
              <w:spacing w:after="100" w:line="280"/>
            </w:pPr>
            <w:r>
              <w:rPr>
                <w:rFonts w:ascii="Georgia" w:cs="Georgia" w:eastAsia="Georgia" w:hAnsi="Georgia"/>
                <w:color w:val="1A1A1A"/>
                <w:sz w:val="21"/>
                <w:szCs w:val="21"/>
              </w:rPr>
              <w:t xml:space="preserve">•  Working-age Americans without employer-provided insurance (substantial population currently paying premium prices for inferior coverage).</w:t>
            </w:r>
          </w:p>
          <w:p>
            <w:pPr>
              <w:spacing w:after="100" w:line="280"/>
            </w:pPr>
            <w:r>
              <w:rPr>
                <w:rFonts w:ascii="Georgia" w:cs="Georgia" w:eastAsia="Georgia" w:hAnsi="Georgia"/>
                <w:color w:val="1A1A1A"/>
                <w:sz w:val="21"/>
                <w:szCs w:val="21"/>
              </w:rPr>
              <w:t xml:space="preserve">•  Small business owners (currently paying disproportionate amounts for employee insurance, would benefit from universal coverage that doesn't tie healthcare to employment).</w:t>
            </w:r>
          </w:p>
          <w:p>
            <w:pPr>
              <w:spacing w:after="100" w:line="280"/>
            </w:pPr>
            <w:r>
              <w:rPr>
                <w:rFonts w:ascii="Georgia" w:cs="Georgia" w:eastAsia="Georgia" w:hAnsi="Georgia"/>
                <w:color w:val="1A1A1A"/>
                <w:sz w:val="21"/>
                <w:szCs w:val="21"/>
              </w:rPr>
              <w:t xml:space="preserve">•  Rural communities (would benefit from rural hospital protection and would lose nothing if the protection is properly funded).</w:t>
            </w:r>
          </w:p>
          <w:p>
            <w:pPr>
              <w:spacing w:after="100" w:line="280"/>
            </w:pPr>
            <w:r>
              <w:rPr>
                <w:rFonts w:ascii="Georgia" w:cs="Georgia" w:eastAsia="Georgia" w:hAnsi="Georgia"/>
                <w:color w:val="1A1A1A"/>
                <w:sz w:val="21"/>
                <w:szCs w:val="21"/>
              </w:rPr>
              <w:t xml:space="preserve">•  Older Americans not yet eligible for Medicare (currently in the worst position in the existing system, would benefit substantially from universal coverage).</w:t>
            </w:r>
          </w:p>
          <w:p>
            <w:pPr>
              <w:spacing w:after="100" w:line="280"/>
            </w:pPr>
            <w:r>
              <w:rPr>
                <w:rFonts w:ascii="Georgia" w:cs="Georgia" w:eastAsia="Georgia" w:hAnsi="Georgia"/>
                <w:color w:val="1A1A1A"/>
                <w:sz w:val="21"/>
                <w:szCs w:val="21"/>
              </w:rPr>
              <w:t xml:space="preserve">•  Healthcare workers other than administrative staff (most clinical workers benefit from universal access through reduced burden of uncompensated care and expanded patient base).</w:t>
            </w:r>
          </w:p>
          <w:p>
            <w:pPr>
              <w:spacing w:after="100" w:line="280"/>
            </w:pPr>
            <w:r>
              <w:rPr>
                <w:rFonts w:ascii="Georgia" w:cs="Georgia" w:eastAsia="Georgia" w:hAnsi="Georgia"/>
                <w:color w:val="1A1A1A"/>
                <w:sz w:val="21"/>
                <w:szCs w:val="21"/>
              </w:rPr>
              <w:t xml:space="preserve">•  Younger Americans burdened by medical debt or fearful of becoming so (substantial latent constituency that mobilizes around personal financial impact).</w:t>
            </w:r>
          </w:p>
          <w:p>
            <w:pPr>
              <w:spacing w:after="100" w:line="280"/>
            </w:pPr>
            <w:r>
              <w:rPr>
                <w:rFonts w:ascii="Georgia" w:cs="Georgia" w:eastAsia="Georgia" w:hAnsi="Georgia"/>
                <w:color w:val="1A1A1A"/>
                <w:sz w:val="21"/>
                <w:szCs w:val="21"/>
              </w:rPr>
              <w:t xml:space="preserve">•  Patient advocacy organizations focused on specific conditions (universal access expands their members' care options).</w:t>
            </w:r>
          </w:p>
        </w:tc>
      </w:tr>
    </w:tbl>
    <w:p>
      <w:pPr>
        <w:pStyle w:val="Heading2"/>
        <w:spacing w:after="160" w:before="360"/>
      </w:pPr>
      <w:r>
        <w:rPr>
          <w:rFonts w:ascii="Arial" w:cs="Arial" w:eastAsia="Arial" w:hAnsi="Arial"/>
          <w:b/>
          <w:bCs/>
          <w:color w:val="1F4E78"/>
          <w:sz w:val="28"/>
          <w:szCs w:val="28"/>
        </w:rPr>
        <w:t xml:space="preserve">Sustained Political Work</w:t>
      </w:r>
    </w:p>
    <w:p>
      <w:pPr>
        <w:spacing w:after="200" w:line="320"/>
        <w:jc w:val="both"/>
      </w:pPr>
      <w:r>
        <w:rPr>
          <w:rFonts w:ascii="Georgia" w:cs="Georgia" w:eastAsia="Georgia" w:hAnsi="Georgia"/>
          <w:color w:val="1A1A1A"/>
          <w:sz w:val="22"/>
          <w:szCs w:val="22"/>
        </w:rPr>
        <w:t xml:space="preserve">The healthcare transition cannot be achieved in a single election cycle. Comprehensive healthcare reform has historically required sustained political organizing across multiple administrations, with opposition resources roughly matched by supporter resources, and with patience for the inevitable setbacks. The platform's approach is to build the analytical and policy foundation that supports sustained organizing, then provide that foundation to the people doing the actual political work.</w:t>
      </w:r>
    </w:p>
    <w:p>
      <w:pPr>
        <w:spacing w:after="200" w:line="320"/>
        <w:jc w:val="both"/>
      </w:pPr>
      <w:r>
        <w:rPr>
          <w:rFonts w:ascii="Georgia" w:cs="Georgia" w:eastAsia="Georgia" w:hAnsi="Georgia"/>
          <w:color w:val="1A1A1A"/>
          <w:sz w:val="22"/>
          <w:szCs w:val="22"/>
        </w:rPr>
        <w:t xml:space="preserve">Specific organizing implications: the transition plan must be implementable in stages rather than requiring all-or-nothing legislation. Early-stage implementations (rural hospital protection, administrative worker transition support, pharmaceutical price negotiation expansion) can be advanced as standalone legislation that builds toward comprehensive transformation. Each successful early-stage implementation demonstrates the platform's commitment to thoughtful design and creates political momentum for subsequent stages.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“Opposition will exist regardless of how good the design is. Thoughtful design changes what opponents can credibly argue. The platform's job is to make the only available opposition argument ‘we want to keep extracting $1.7 trillion per year.’”  (See Sources Baseline.)</w:t>
            </w:r>
          </w:p>
        </w:tc>
      </w:tr>
    </w:tbl>
    <w:p>
      <w:r>
        <w:br w:type="page"/>
      </w:r>
    </w:p>
    <w:p>
      <w:pPr>
        <w:pStyle w:val="Heading1"/>
        <w:spacing w:after="240" w:before="480"/>
      </w:pPr>
      <w:r>
        <w:rPr>
          <w:rFonts w:ascii="Arial" w:cs="Arial" w:eastAsia="Arial" w:hAnsi="Arial"/>
          <w:b/>
          <w:bCs/>
          <w:color w:val="1F4E78"/>
          <w:sz w:val="36"/>
          <w:szCs w:val="36"/>
        </w:rPr>
        <w:t>Cost Reduction Decomposition Framework</w:t>
      </w:r>
    </w:p>
    <w:p>
      <w:pPr>
        <w:spacing w:after="240" w:line="340"/>
        <w:jc w:val="both"/>
      </w:pPr>
      <w:r>
        <w:rPr>
          <w:rFonts w:ascii="Georgia" w:cs="Georgia" w:eastAsia="Georgia" w:hAnsi="Georgia"/>
          <w:color w:val="1A1A1A"/>
          <w:sz w:val="24"/>
          <w:szCs w:val="24"/>
        </w:rPr>
        <w:t>This section articulates the platform's response framework for the healthcare cost reduction decomposition question raised in Open Issues Registry RESEARCH-4. The platform targets per-capita healthcare spending of $9,500 by Year 15, down from approximately $14, Bureau of Labor Statistics (BLS and CMS (Centers for Medicare and Medicaid Services) baseline) — a $5,112 per-capita reduction or approximately 35 percent of current per-capita spending. RESEARCH-4 noted that the platform attributes the reduction to administrative simplification, drug price negotiation, provider compensation reform, and reduced unnecessary utilization, in varying combinations across documents, but does not decompose the savings target into specific dollar contributions from specific mechanisms. This section provides the decomposition framework with reasonable bounds based on publicly available research.</w:t>
      </w:r>
    </w:p>
    <w:p>
      <w:pPr>
        <w:pStyle w:val="Heading2"/>
        <w:spacing w:after="160" w:before="360"/>
      </w:pPr>
      <w:r>
        <w:rPr>
          <w:rFonts w:ascii="Arial" w:cs="Arial" w:eastAsia="Arial" w:hAnsi="Arial"/>
          <w:b/>
          <w:bCs/>
          <w:color w:val="1F4E78"/>
          <w:sz w:val="28"/>
          <w:szCs w:val="28"/>
        </w:rPr>
        <w:t>Reasonable Bounds for Each Mechanism</w:t>
      </w:r>
    </w:p>
    <w:p>
      <w:pPr>
        <w:spacing w:after="240" w:line="340"/>
        <w:jc w:val="both"/>
      </w:pPr>
      <w:r>
        <w:rPr>
          <w:rFonts w:ascii="Georgia" w:cs="Georgia" w:eastAsia="Georgia" w:hAnsi="Georgia"/>
          <w:color w:val="1A1A1A"/>
          <w:sz w:val="24"/>
          <w:szCs w:val="24"/>
        </w:rPr>
        <w:t>Administrative simplification. The most-cited estimates (Himmelstein and Woolhandler 2020, similar studies) suggest US administrative healthcare costs run approximately 8 percentage points higher than peer-nation averages — about 25 percent of US healthcare spending versus approximately 17 percent in peer nations. At Year 15 baseline, this gap implies approximately $2,200 per-capita savings if achieved fully. Aggressive achievable savings are 60-80 percent of the gap (some administrative cost is non-eliminable in any system), suggesting $1,300-$1,800 per-capita realistic savings from administrative simplification. The platform's single-payer-style payment consolidation, automated billing, and reduced billing complexity support this range.  (Source baseline: see Sources_And_Derivation_Convention.docx.)</w:t>
      </w:r>
    </w:p>
    <w:p>
      <w:pPr>
        <w:spacing w:after="240" w:line="340"/>
        <w:jc w:val="both"/>
      </w:pPr>
      <w:r>
        <w:rPr>
          <w:rFonts w:ascii="Georgia" w:cs="Georgia" w:eastAsia="Georgia" w:hAnsi="Georgia"/>
          <w:color w:val="1A1A1A"/>
          <w:sz w:val="24"/>
          <w:szCs w:val="24"/>
        </w:rPr>
        <w:t>Drug price negotiation. US pharmaceutical spending is approximately $1,500 per capita compared to $400-700 per capita in peer nations. The pricing differential is large but cannot be fully closed without either US bearing a much larger share of global pharmaceutical R&amp;D (currently borne disproportionately) or achieving substantial innovation-cost reductions (which current pharmaceutical R&amp;D models make difficult). Achievable savings through aggressive price negotiation are likely $400-700 per capita, not the full peer-nation differential. The platform's Healthcare Transition Detailed Plan addresses pharmaceutical innovation continuity (Component 5) which limits how aggressive price negotiation can be without compromising research-and-development capacity.</w:t>
      </w:r>
    </w:p>
    <w:p>
      <w:pPr>
        <w:spacing w:after="240" w:line="340"/>
        <w:jc w:val="both"/>
      </w:pPr>
      <w:r>
        <w:rPr>
          <w:rFonts w:ascii="Georgia" w:cs="Georgia" w:eastAsia="Georgia" w:hAnsi="Georgia"/>
          <w:color w:val="1A1A1A"/>
          <w:sz w:val="24"/>
          <w:szCs w:val="24"/>
        </w:rPr>
        <w:t>Provider compensation reform. US physician compensation runs approximately 50-100 percent higher than peer-nation averages (specialty-dependent). Hospital costs run approximately 30-50 percent higher. Reducing these without precipitating provider exit requires phased compensation adjustment over many years. Achievable savings are likely $800-1,400 per capita, but only over the platform's full deployment timeline, not within the Year 15 horizon. Within Year 15, achievable savings are likely $400-800 per capita — substantially less than the long-run achievable amount.  (Source baseline: see Sources_And_Derivation_Convention.docx.)</w:t>
      </w:r>
    </w:p>
    <w:p>
      <w:pPr>
        <w:spacing w:after="240" w:line="340"/>
        <w:jc w:val="both"/>
      </w:pPr>
      <w:r>
        <w:rPr>
          <w:rFonts w:ascii="Georgia" w:cs="Georgia" w:eastAsia="Georgia" w:hAnsi="Georgia"/>
          <w:color w:val="1A1A1A"/>
          <w:sz w:val="24"/>
          <w:szCs w:val="24"/>
        </w:rPr>
        <w:t>Utilization reduction. Reducing unnecessary utilization while maintaining or improving health outcomes is the most uncertain category. Estimates of unnecessary utilization range from 10 to 30 percent of spending (Choosing Wisely campaign data, RAND comparative effectiveness research). Achievable savings without harming outcomes are likely $700-1,200 per capita over Year 15. This requires substantial investment in primary-care capacity (which the platform addresses), in clinical decision support, and in quality measurement.  (Source baseline: see Sources_And_Derivation_Convention.docx.)</w:t>
      </w:r>
    </w:p>
    <w:p>
      <w:pPr>
        <w:pStyle w:val="Heading2"/>
        <w:spacing w:after="160" w:before="360"/>
      </w:pPr>
      <w:r>
        <w:rPr>
          <w:rFonts w:ascii="Arial" w:cs="Arial" w:eastAsia="Arial" w:hAnsi="Arial"/>
          <w:b/>
          <w:bCs/>
          <w:color w:val="1F4E78"/>
          <w:sz w:val="28"/>
          <w:szCs w:val="28"/>
        </w:rPr>
        <w:t>Combined Decomposition</w:t>
      </w:r>
    </w:p>
    <w:p>
      <w:pPr>
        <w:spacing w:after="240" w:line="340"/>
        <w:jc w:val="both"/>
      </w:pPr>
      <w:r>
        <w:rPr>
          <w:rFonts w:ascii="Georgia" w:cs="Georgia" w:eastAsia="Georgia" w:hAnsi="Georgia"/>
          <w:color w:val="1A1A1A"/>
          <w:sz w:val="24"/>
          <w:szCs w:val="24"/>
        </w:rPr>
        <w:t>The four mechanisms summed at midpoint estimates: $1,550 + $550 + $600 + $950 = $3,650 per-capita reduction. The platform's $5,112 target is approximately $1,400 per capita above this midpoint estimate. Two interpretations: (1) the platform's target is achievable only at the upper end of each mechanism's reasonable range, requiring all four to operate near maximum effectiveness simultaneously; or (2) the platform's target is partially aspirational and the realistic Year 15 outcome is approximately $11,000 per-capita rather than the targeted $9,500. Neither interpretation invalidates the platform; both suggest the platform's quantitative claim should be presented as a range ($9,500-$11,000 by Year 15) rather than a point estimate.</w:t>
      </w:r>
    </w:p>
    <w:p>
      <w:pPr>
        <w:spacing w:after="240" w:line="340"/>
        <w:jc w:val="both"/>
      </w:pPr>
      <w:r>
        <w:rPr>
          <w:rFonts w:ascii="Georgia" w:cs="Georgia" w:eastAsia="Georgia" w:hAnsi="Georgia"/>
          <w:color w:val="1A1A1A"/>
          <w:sz w:val="24"/>
          <w:szCs w:val="24"/>
        </w:rPr>
        <w:t>Decomposition methodology note: the per-mechanism reduction estimates above are not always positioned at the unweighted midpoint of the ranges cited in each mechanism's bound discussion. The drug-price-negotiation estimate of $550 per capita represents the realistic half-to-two-thirds gap closure described in the bound discussion, not the unweighted midpoint of the full $800-to-$1,100 differential. The utilization-reduction estimate of $950 per capita (about 6.5 percent of current spending) sits below the lower bound of the cited 10-to-30 percent range, reflecting a deliberately conservative position: utilization reductions are the most behaviorally uncertain mechanism and the platform does not rely on optimistic estimates here. Provider-compensation and administrative-simplification estimates are positioned closer to the midpoint of their respective ranges. Readers should treat the $3,650 figure as a deliberately conservative aggregate rather than a strict arithmetic midpoint; the $1,400 gap to the $5,112 target is therefore a feature of the decomposition's conservatism rather than an unresolved puzzle. (Decomposition methodology note added in v3.7.197 via SITE-36 Pillar 4 review.)</w:t>
      </w:r>
    </w:p>
    <w:p>
      <w:pPr>
        <w:pStyle w:val="Heading2"/>
        <w:spacing w:after="160" w:before="360"/>
      </w:pPr>
      <w:r>
        <w:rPr>
          <w:rFonts w:ascii="Arial" w:cs="Arial" w:eastAsia="Arial" w:hAnsi="Arial"/>
          <w:b/>
          <w:bCs/>
          <w:color w:val="1F4E78"/>
          <w:sz w:val="28"/>
          <w:szCs w:val="28"/>
        </w:rPr>
        <w:t>Platform Response Framework Under Different Findings</w:t>
      </w:r>
    </w:p>
    <w:p>
      <w:pPr>
        <w:spacing w:after="240" w:line="340"/>
        <w:jc w:val="both"/>
      </w:pPr>
      <w:r>
        <w:rPr>
          <w:rFonts w:ascii="Georgia" w:cs="Georgia" w:eastAsia="Georgia" w:hAnsi="Georgia"/>
          <w:color w:val="1A1A1A"/>
          <w:sz w:val="24"/>
          <w:szCs w:val="24"/>
        </w:rPr>
        <w:t>If expert review finds the platform's $9,500 target is achievable: the platform's existing analysis is validated and Year 15 cost-reduction goals proceed as designed.</w:t>
      </w:r>
    </w:p>
    <w:p>
      <w:pPr>
        <w:spacing w:after="240" w:line="340"/>
        <w:jc w:val="both"/>
      </w:pPr>
      <w:r>
        <w:rPr>
          <w:rFonts w:ascii="Georgia" w:cs="Georgia" w:eastAsia="Georgia" w:hAnsi="Georgia"/>
          <w:color w:val="1A1A1A"/>
          <w:sz w:val="24"/>
          <w:szCs w:val="24"/>
        </w:rPr>
        <w:t>If expert review finds achievable Year 15 savings are closer to $3,000-3,500 per capita (Year 15 spending of $11,000-11,500 per capita): the platform's mature steady-state target ($9,500 per capita) is achieved by Year 25-30 rather than Year 15. The fiscal implications are manageable: Universal Healthcare Access pillar's fiscal sustainability is preserved at the slower trajectory, with modest adjustments to the payroll contribution rate during the extended transition period. The platform does not collapse if the fastest trajectory is not achieved.</w:t>
      </w:r>
    </w:p>
    <w:p>
      <w:pPr>
        <w:spacing w:after="240" w:line="340"/>
        <w:jc w:val="both"/>
      </w:pPr>
      <w:r>
        <w:rPr>
          <w:rFonts w:ascii="Georgia" w:cs="Georgia" w:eastAsia="Georgia" w:hAnsi="Georgia"/>
          <w:color w:val="1A1A1A"/>
          <w:sz w:val="24"/>
          <w:szCs w:val="24"/>
        </w:rPr>
        <w:t>If expert review finds achievable Year 15 savings are below $2,500 per capita (Year 15 spending of $12,000+ per capita): this would represent a substantial revision to the platform's healthcare claims. The platform's response would be to extend the transition timeline further (potentially to Year 35-40 for mature steady state), to investigate which mechanism is underperforming expectations, and to adjust other architectural elements (payroll contribution rate, employer share) to maintain fiscal sustainability. Universal Healthcare Access remains achievable at higher per-capita spending; the platform's architecture does not require the $9,500 target to function.</w:t>
      </w:r>
    </w:p>
    <w:p>
      <w:pPr>
        <w:pStyle w:val="Heading2"/>
        <w:spacing w:after="160" w:before="360"/>
      </w:pPr>
      <w:r>
        <w:rPr>
          <w:rFonts w:ascii="Arial" w:cs="Arial" w:eastAsia="Arial" w:hAnsi="Arial"/>
          <w:b/>
          <w:bCs/>
          <w:color w:val="1F4E78"/>
          <w:sz w:val="28"/>
          <w:szCs w:val="28"/>
        </w:rPr>
        <w:t>What Still Requires Expert Review</w:t>
      </w:r>
    </w:p>
    <w:p>
      <w:pPr>
        <w:spacing w:after="240" w:line="340"/>
        <w:jc w:val="both"/>
      </w:pPr>
      <w:r>
        <w:rPr>
          <w:rFonts w:ascii="Georgia" w:cs="Georgia" w:eastAsia="Georgia" w:hAnsi="Georgia"/>
          <w:color w:val="1A1A1A"/>
          <w:sz w:val="24"/>
          <w:szCs w:val="24"/>
        </w:rPr>
        <w:t>Specific dollar attribution to each mechanism beyond the reasonable ranges presented above. Year-by-year trajectory of cost reductions from each mechanism. Identification of which mechanism is most leveraged versus most uncertain. Specific implementation pathways for utilization reduction without harming outcomes. Health economics expertise and access to detailed CMS, BLS, and NHE data series are required for full resolution. RESEARCH-4's status is updated to reflect that the platform's response framework is now documented but full mitigation requires external expert engagement.</w:t>
      </w:r>
    </w:p>
    <w:p>
      <w:pPr>
        <w:pStyle w:val="Heading1"/>
        <w:spacing w:after="240" w:before="480"/>
      </w:pPr>
      <w:r>
        <w:rPr>
          <w:rFonts w:ascii="Arial" w:cs="Arial" w:eastAsia="Arial" w:hAnsi="Arial"/>
          <w:b/>
          <w:bCs/>
          <w:color w:val="1F4E78"/>
          <w:sz w:val="36"/>
          <w:szCs w:val="36"/>
        </w:rPr>
        <w:t xml:space="preserve">What This Document Establishes</w:t>
      </w:r>
    </w:p>
    <w:p>
      <w:pPr>
        <w:spacing w:after="240" w:line="340"/>
        <w:jc w:val="both"/>
      </w:pPr>
      <w:r>
        <w:rPr>
          <w:rFonts w:ascii="Georgia" w:cs="Georgia" w:eastAsia="Georgia" w:hAnsi="Georgia"/>
          <w:color w:val="1A1A1A"/>
          <w:sz w:val="24"/>
          <w:szCs w:val="24"/>
        </w:rPr>
        <w:t>This document responds to the second of the four vulnerabilities identified in Gemini's external review of v1.8: the $1.7 trillion healthcare extraction. The response is a five-component transition plan that addresses the economic shock, protects vulnerable communities and workers, maintains pharmaceutical innovation, and prepares for the political opposition the transition must overcome.  (Source baseline: see Sources_And_Derivation_Convention.docx.)</w:t>
      </w:r>
    </w:p>
    <w:p>
      <w:pPr>
        <w:pStyle w:val="Heading2"/>
        <w:spacing w:after="160" w:before="360"/>
      </w:pPr>
      <w:r>
        <w:rPr>
          <w:rFonts w:ascii="Arial" w:cs="Arial" w:eastAsia="Arial" w:hAnsi="Arial"/>
          <w:b/>
          <w:bCs/>
          <w:color w:val="1F4E78"/>
          <w:sz w:val="28"/>
          <w:szCs w:val="28"/>
        </w:rPr>
        <w:t xml:space="preserve">Honest Acknowledgments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this plan does and doesn't claim</w:t>
            </w:r>
          </w:p>
          <w:p>
            <w:pPr>
              <w:spacing w:after="100" w:line="280"/>
            </w:pPr>
            <w:r>
              <w:rPr>
                <w:rFonts w:ascii="Georgia" w:cs="Georgia" w:eastAsia="Georgia" w:hAnsi="Georgia"/>
                <w:color w:val="1A1A1A"/>
                <w:sz w:val="21"/>
                <w:szCs w:val="21"/>
              </w:rPr>
              <w:t xml:space="preserve">•  The plan reduces the economic shock of healthcare reform without eliminating it. Some institutions will fail, some workers will face permanent dislocation, some specialists will see significant compensation reduction.</w:t>
            </w:r>
          </w:p>
          <w:p>
            <w:pPr>
              <w:spacing w:after="100" w:line="280"/>
            </w:pPr>
            <w:r>
              <w:rPr>
                <w:rFonts w:ascii="Georgia" w:cs="Georgia" w:eastAsia="Georgia" w:hAnsi="Georgia"/>
                <w:color w:val="1A1A1A"/>
                <w:sz w:val="21"/>
                <w:szCs w:val="21"/>
              </w:rPr>
              <w:t xml:space="preserve">•  The 15-year glide path delays the platform's compound benefits by approximately five years compared to a 10-year glide path. The trade-off is more humane transition.</w:t>
            </w:r>
          </w:p>
          <w:p>
            <w:pPr>
              <w:spacing w:after="100" w:line="280"/>
            </w:pPr>
            <w:r>
              <w:rPr>
                <w:rFonts w:ascii="Georgia" w:cs="Georgia" w:eastAsia="Georgia" w:hAnsi="Georgia"/>
                <w:color w:val="1A1A1A"/>
                <w:sz w:val="21"/>
                <w:szCs w:val="21"/>
              </w:rPr>
              <w:t xml:space="preserve">•  Rural hospital protection cannot save every rural hospital. Approximately 30-50 rural hospitals will close during transition despite the protection program; the program ensures alternative healthcare access for affected communities.</w:t>
            </w:r>
          </w:p>
          <w:p>
            <w:pPr>
              <w:spacing w:after="100" w:line="280"/>
            </w:pPr>
            <w:r>
              <w:rPr>
                <w:rFonts w:ascii="Georgia" w:cs="Georgia" w:eastAsia="Georgia" w:hAnsi="Georgia"/>
                <w:color w:val="1A1A1A"/>
                <w:sz w:val="21"/>
                <w:szCs w:val="21"/>
              </w:rPr>
              <w:t xml:space="preserve">•  Administrative worker transition cannot place every displaced worker. Approximately 10-15% of displaced workers will face permanent or near-permanent reduction in employment.</w:t>
            </w:r>
          </w:p>
          <w:p>
            <w:pPr>
              <w:spacing w:after="100" w:line="280"/>
            </w:pPr>
            <w:r>
              <w:rPr>
                <w:rFonts w:ascii="Georgia" w:cs="Georgia" w:eastAsia="Georgia" w:hAnsi="Georgia"/>
                <w:color w:val="1A1A1A"/>
                <w:sz w:val="21"/>
                <w:szCs w:val="21"/>
              </w:rPr>
              <w:t xml:space="preserve">•  Pharmaceutical innovation reduces less than industry rhetoric suggests but more than zero. The Innovation Continuity Fund partially offsets the reduction.</w:t>
            </w:r>
          </w:p>
          <w:p>
            <w:pPr>
              <w:spacing w:after="100" w:line="280"/>
            </w:pPr>
            <w:r>
              <w:rPr>
                <w:rFonts w:ascii="Georgia" w:cs="Georgia" w:eastAsia="Georgia" w:hAnsi="Georgia"/>
                <w:color w:val="1A1A1A"/>
                <w:sz w:val="21"/>
                <w:szCs w:val="21"/>
              </w:rPr>
              <w:t xml:space="preserve">•  Political opposition will be substantial regardless of how thoughtful the transition design is. The platform's job is to change what opposition can credibly argue, not to eliminate opposition.</w:t>
            </w:r>
          </w:p>
          <w:p>
            <w:pPr>
              <w:spacing w:after="100" w:line="280"/>
            </w:pPr>
            <w:r>
              <w:rPr>
                <w:rFonts w:ascii="Georgia" w:cs="Georgia" w:eastAsia="Georgia" w:hAnsi="Georgia"/>
                <w:color w:val="1A1A1A"/>
                <w:sz w:val="21"/>
                <w:szCs w:val="21"/>
              </w:rPr>
              <w:t xml:space="preserve">•  International pharmaceutical pricing coordination is desirable, would substantially improve outcomes, and cannot be guaranteed. The domestic pricing structure must work without it.</w:t>
            </w:r>
          </w:p>
        </w:tc>
      </w:tr>
    </w:tbl>
    <w:p>
      <w:pPr>
        <w:pStyle w:val="Heading2"/>
        <w:spacing w:after="160" w:before="360"/>
      </w:pPr>
      <w:r>
        <w:rPr>
          <w:rFonts w:ascii="Arial" w:cs="Arial" w:eastAsia="Arial" w:hAnsi="Arial"/>
          <w:b/>
          <w:bCs/>
          <w:color w:val="1F4E78"/>
          <w:sz w:val="28"/>
          <w:szCs w:val="28"/>
        </w:rPr>
        <w:t xml:space="preserve">Total Cost of Transition Programs</w:t>
      </w:r>
    </w:p>
    <w:p>
      <w:pPr>
        <w:spacing w:after="200" w:line="320"/>
        <w:jc w:val="both"/>
      </w:pPr>
      <w:r>
        <w:rPr>
          <w:rFonts w:ascii="Georgia" w:cs="Georgia" w:eastAsia="Georgia" w:hAnsi="Georgia"/>
          <w:color w:val="1A1A1A"/>
          <w:sz w:val="22"/>
          <w:szCs w:val="22"/>
        </w:rPr>
        <w:t xml:space="preserve">The transition programs (Components 2 through 5) have a combined annual cost during peak transition years (Years 5-12) of approximately $80-110 billion. This is approximately 5-7% of total healthcare savings, deliberately funded as a first-priority allocation from savings rather than treated as residual. The platform's commitment is that affected communities, workers, and innovation infrastructure are protected before the platform's other compound benefits are funded.</w:t>
      </w:r>
    </w:p>
    <w:p>
      <w:pPr>
        <w:pStyle w:val="Heading2"/>
        <w:spacing w:after="160" w:before="360"/>
      </w:pPr>
      <w:r>
        <w:rPr>
          <w:rFonts w:ascii="Arial" w:cs="Arial" w:eastAsia="Arial" w:hAnsi="Arial"/>
          <w:b/>
          <w:bCs/>
          <w:color w:val="1F4E78"/>
          <w:sz w:val="28"/>
          <w:szCs w:val="28"/>
        </w:rPr>
        <w:t xml:space="preserve">What the Platform Asks of Readers</w:t>
      </w:r>
    </w:p>
    <w:p>
      <w:pPr>
        <w:spacing w:after="200" w:line="320"/>
        <w:jc w:val="both"/>
      </w:pPr>
      <w:r>
        <w:rPr>
          <w:rFonts w:ascii="Georgia" w:cs="Georgia" w:eastAsia="Georgia" w:hAnsi="Georgia"/>
          <w:color w:val="1A1A1A"/>
          <w:sz w:val="22"/>
          <w:szCs w:val="22"/>
        </w:rPr>
        <w:t xml:space="preserve">This document is the platform's substantive response to one of the most difficult political vulnerabilities external reviewers can identify. Healthcare reform has failed repeatedly in American history because the design of the transition has been inadequate to the political opposition. The transition plan in this document is the platform's effort to design a transition that is robust to opposition: detailed enough to engage specific concerns, humane enough to protect vulnerable populations, ambitious enough to deliver the promised savings, and patient enough to absorb the political work over multiple administrations.</w:t>
      </w:r>
    </w:p>
    <w:p>
      <w:pPr>
        <w:spacing w:after="200" w:line="320"/>
        <w:jc w:val="both"/>
      </w:pPr>
      <w:r>
        <w:rPr>
          <w:rFonts w:ascii="Georgia" w:cs="Georgia" w:eastAsia="Georgia" w:hAnsi="Georgia"/>
          <w:color w:val="1A1A1A"/>
          <w:sz w:val="22"/>
          <w:szCs w:val="22"/>
        </w:rPr>
        <w:t xml:space="preserve">Readers who find specific components inadequate are invited to engage with those components specifically. Readers who find the overall framework sound but worry about specific implementation are invited to identify additional protections the design should include. Readers who oppose the entire transition because they prefer the current system are engaged in a different conversation — one about whether the current system is acceptable rather than about how to change it. The platform's position is that the current system is not acceptable; this document articulates how to change it without breaking the people the current system fails.</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“Healthcare reform fails when transition design is inadequate to political opposition. This plan is the platform's effort to design a transition robust enough to win.”</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Healthcare Transition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Healthcare Transition Detailed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Transition Detailed Plan</dc:title>
  <dc:creator>Jason Robertson</dc:creator>
  <cp:lastModifiedBy>Un-named</cp:lastModifiedBy>
  <cp:revision>1</cp:revision>
  <dcterms:created xsi:type="dcterms:W3CDTF">2026-05-04T18:11:34.397Z</dcterms:created>
  <dcterms:modified xsi:type="dcterms:W3CDTF">2026-05-04T18:11:34.397Z</dcterms:modified>
</cp:coreProperties>
</file>

<file path=docProps/custom.xml><?xml version="1.0" encoding="utf-8"?>
<Properties xmlns="http://schemas.openxmlformats.org/officeDocument/2006/custom-properties" xmlns:vt="http://schemas.openxmlformats.org/officeDocument/2006/docPropsVTypes"/>
</file>