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Item 79: Federal Infrastructure Fee Transition Mechanics</w:t>
      </w:r>
    </w:p>
    <w:p>
      <w:pPr>
        <w:spacing w:after="240" w:before="480"/>
      </w:pPr>
      <w:r>
        <w:rPr>
          <w:rFonts w:ascii="Arial" w:cs="Arial" w:eastAsia="Arial" w:hAnsi="Arial"/>
          <w:b/>
          <w:bCs/>
          <w:color w:val="1F4E78"/>
          <w:sz w:val="36"/>
          <w:szCs w:val="36"/>
        </w:rPr>
        <w:t>Jason Robertson  ·  Ohio  ·  2026  ·  v1.1  ·  Created May 6, 2026 for v2.28 (Federal Infrastructure Fee transition mechanics analytical work)  ·  Updated May 6, 2026 for v2.30.30 (Three response framework sections added: ITEM79-Q1 competitive carrier transition, ITEM79-Q2 private investment incentives, ITEM79-Q3 tribal nation lands)</w:t>
      </w:r>
    </w:p>
    <w:p>
      <w:pPr>
        <w:pStyle w:val="Heading2"/>
        <w:spacing w:after="160" w:before="360"/>
      </w:pPr>
      <w:r>
        <w:rPr>
          <w:rFonts w:ascii="Arial" w:cs="Arial" w:eastAsia="Arial" w:hAnsi="Arial"/>
          <w:b/>
          <w:bCs/>
          <w:color w:val="1F4E78"/>
          <w:sz w:val="28"/>
          <w:szCs w:val="28"/>
        </w:rPr>
        <w:t>Why This Document Exists</w:t>
      </w:r>
    </w:p>
    <w:p>
      <w:pPr>
        <w:spacing w:after="240" w:before="480"/>
      </w:pPr>
      <w:r>
        <w:rPr>
          <w:rFonts w:ascii="Arial" w:cs="Arial" w:eastAsia="Arial" w:hAnsi="Arial"/>
          <w:b/>
          <w:bCs/>
          <w:color w:val="1F4E78"/>
          <w:sz w:val="36"/>
          <w:szCs w:val="36"/>
        </w:rPr>
        <w:t>Item 78 (Federal Infrastructure Fee) establishes the architecture: federally-owned broadband and cellular infrastructure recovers cost from the companies that use it via a hybrid fee structure (location fee, employee fee with small-business exemption, revenue surcharge above 50 million dollars, public-purpose exemption for hospitals and tribal nations and similar entities). The architecture document leaves three transition questions deferred to a follow-up analytical document: how cellular site lease rates are set when the federal government owns the towers; what mechanism transitions privately-owned fiber to federal ownership; and how the platform prevents companies from passing the fee through to consumers as a new line-item tax surcharge. This document addresses those three questions with the level of specificity required for legislative drafting. It does not substitute for FCC rulemaking or state public utility commission rate-setting proceedings; it provides the analytical framework that those proceedings would operate within.</w:t>
      </w:r>
    </w:p>
    <w:p>
      <w:pPr>
        <w:pStyle w:val="Heading2"/>
        <w:spacing w:after="160" w:before="360"/>
      </w:pPr>
      <w:r>
        <w:rPr>
          <w:rFonts w:ascii="Arial" w:cs="Arial" w:eastAsia="Arial" w:hAnsi="Arial"/>
          <w:b/>
          <w:bCs/>
          <w:color w:val="1F4E78"/>
          <w:sz w:val="28"/>
          <w:szCs w:val="28"/>
        </w:rPr>
        <w:t>Cellular Site Lease Rate Setting</w:t>
      </w:r>
    </w:p>
    <w:p>
      <w:pPr>
        <w:spacing w:after="240" w:before="480"/>
      </w:pPr>
      <w:r>
        <w:rPr>
          <w:rFonts w:ascii="Arial" w:cs="Arial" w:eastAsia="Arial" w:hAnsi="Arial"/>
          <w:b/>
          <w:bCs/>
          <w:color w:val="1F4E78"/>
          <w:sz w:val="36"/>
          <w:szCs w:val="36"/>
        </w:rPr>
        <w:t>The current state. Cellular site leases are privately negotiated between tower owners (American Tower, Crown Castle, SBA Communications dominate the market) and the wireless carriers (AT&amp;T, Verizon, T-Mobile). Lease rates vary by site location, antenna count, and carrier negotiation leverage; published rates range from roughly 1,500 dollars per month for a single-carrier rural tower to 6,000 dollars per month for a multi-carrier urban macrocell. Approximately 200,000 cellular tower sites exist nationwide. The three publicly-traded tower REITs (American Tower, Crown Castle, SBA Communications) collectively own approximately 175,000 sites. Annual lease revenue across the industry is approximately 25 to 30 billion dollars.</w:t>
      </w:r>
    </w:p>
    <w:p>
      <w:pPr>
        <w:spacing w:after="240" w:before="480"/>
      </w:pPr>
      <w:r>
        <w:rPr>
          <w:rFonts w:ascii="Arial" w:cs="Arial" w:eastAsia="Arial" w:hAnsi="Arial"/>
          <w:b/>
          <w:bCs/>
          <w:color w:val="1F4E78"/>
          <w:sz w:val="36"/>
          <w:szCs w:val="36"/>
        </w:rPr>
        <w:t>The transition state. Under the platform, cellular tower infrastructure becomes federally owned over a 10-year transition. The acquisition mechanism is detailed in the next section; this section addresses what happens to lease rates after federal acquisition. The principle is cost-recovery rate-setting: federal lease rates are set to recover the amortized acquisition cost plus reasonable maintenance and operating costs plus a reasonable return on capital, not to maximize revenue. This is analogous to how federal lands grazing fees and federal timber sales operate (cost-recovery, not market-rate).</w:t>
      </w:r>
    </w:p>
    <w:p>
      <w:pPr>
        <w:spacing w:after="240" w:before="480"/>
      </w:pPr>
      <w:r>
        <w:rPr>
          <w:rFonts w:ascii="Arial" w:cs="Arial" w:eastAsia="Arial" w:hAnsi="Arial"/>
          <w:b/>
          <w:bCs/>
          <w:color w:val="1F4E78"/>
          <w:sz w:val="36"/>
          <w:szCs w:val="36"/>
        </w:rPr>
        <w:t>Rate-setting authority. The Federal Communications Commission has rate-setting authority for federal cellular infrastructure under existing 47 USC Section 332. The platform extends this authority explicitly to federally-owned cellular sites. FCC rate-setting follows established rulemaking procedures (Notice of Proposed Rulemaking, public comment period, final rule, judicial review under the Administrative Procedure Act). Initial rates are set through a formal rulemaking in transition year 2; rates are reviewed every five years thereafter. Carriers have standing to challenge rates as confiscatory; small carriers have standing to challenge rates as discriminatory.</w:t>
      </w:r>
    </w:p>
    <w:p>
      <w:pPr>
        <w:spacing w:after="240" w:before="480"/>
      </w:pPr>
      <w:r>
        <w:rPr>
          <w:rFonts w:ascii="Arial" w:cs="Arial" w:eastAsia="Arial" w:hAnsi="Arial"/>
          <w:b/>
          <w:bCs/>
          <w:color w:val="1F4E78"/>
          <w:sz w:val="36"/>
          <w:szCs w:val="36"/>
        </w:rPr>
        <w:t>Cost basis methodology. The cost basis for rate-setting is the sum of: amortized acquisition cost spread over 30 years (the typical useful life of a tower); annual maintenance and operating costs based on actual federal expenditures; depreciation of equipment with shorter useful lives (electronics on 7-year amortization, structural steel on 30-year amortization); and a reasonable return on capital set at the 30-year Treasury rate plus 1.5 percent (matching the Federal Energy Regulatory Commission's allowed return for transmission infrastructure). For a site acquired at 200,000 dollars amortized over 30 years with 8,000 dollars annual maintenance and a Treasury-plus-150-basis-points return on the unamortized balance, the steady-state annual rate is approximately 18,000 dollars per carrier per year (1,500 dollars per month). This is at the low end of the current private-market range and represents a substantial cost reduction for carriers.</w:t>
      </w:r>
    </w:p>
    <w:p>
      <w:pPr>
        <w:spacing w:after="240" w:before="480"/>
      </w:pPr>
      <w:r>
        <w:rPr>
          <w:rFonts w:ascii="Arial" w:cs="Arial" w:eastAsia="Arial" w:hAnsi="Arial"/>
          <w:b/>
          <w:bCs/>
          <w:color w:val="1F4E78"/>
          <w:sz w:val="36"/>
          <w:szCs w:val="36"/>
        </w:rPr>
        <w:t>Why cost-recovery rather than market-rate. The platform's principle is that essential infrastructure should be a public good rather than a profit center. Cellular towers are essential infrastructure; they enable 911 emergency services, broadband access, and economic participation. Cost-recovery rate-setting reduces carrier costs which the platform expects to pass through to consumer prices (verified through the pass-through prevention mechanism described below). This is consistent with how federal highways operate (no per-mile toll for federal interstates; user funding through the Highway Trust Fund) rather than how private toll roads operate (per-mile tolls set to maximize revenue).</w:t>
      </w:r>
    </w:p>
    <w:p>
      <w:pPr>
        <w:pStyle w:val="Heading2"/>
        <w:spacing w:after="160" w:before="360"/>
      </w:pPr>
      <w:r>
        <w:rPr>
          <w:rFonts w:ascii="Arial" w:cs="Arial" w:eastAsia="Arial" w:hAnsi="Arial"/>
          <w:b/>
          <w:bCs/>
          <w:color w:val="1F4E78"/>
          <w:sz w:val="28"/>
          <w:szCs w:val="28"/>
        </w:rPr>
        <w:t>Fiber Acquisition Mechanism</w:t>
      </w:r>
    </w:p>
    <w:p>
      <w:pPr>
        <w:spacing w:after="240" w:before="480"/>
      </w:pPr>
      <w:r>
        <w:rPr>
          <w:rFonts w:ascii="Arial" w:cs="Arial" w:eastAsia="Arial" w:hAnsi="Arial"/>
          <w:b/>
          <w:bCs/>
          <w:color w:val="1F4E78"/>
          <w:sz w:val="36"/>
          <w:szCs w:val="36"/>
        </w:rPr>
        <w:t>The current state. Long-haul fiber backbone is owned by approximately a dozen national carriers (Lumen, Zayo, Cogent, AT&amp;T, Verizon Business, others) with regional fiber networks owned by hundreds of smaller providers. Last-mile fiber to homes and businesses is owned by cable companies, ILECs (incumbent local exchange carriers), and a growing number of municipal and cooperative fiber networks. Total fiber miles in the United States exceed 4 million; replacement value is estimated at 250 to 400 billion dollars.</w:t>
      </w:r>
    </w:p>
    <w:p>
      <w:pPr>
        <w:spacing w:after="240" w:before="480"/>
      </w:pPr>
      <w:r>
        <w:rPr>
          <w:rFonts w:ascii="Arial" w:cs="Arial" w:eastAsia="Arial" w:hAnsi="Arial"/>
          <w:b/>
          <w:bCs/>
          <w:color w:val="1F4E78"/>
          <w:sz w:val="36"/>
          <w:szCs w:val="36"/>
        </w:rPr>
        <w:t>The transition mechanism. The platform uses voluntary negotiated buyout as the primary acquisition mechanism, with eminent domain as a backstop for holdouts. Voluntary buyout terms are: the federal government offers fair market value plus a 15 percent transition premium for fiber assets transferred during years 1 through 5 of the transition; the premium drops to 10 percent for years 6 through 8 and to zero for years 9 through 10. After year 10, eminent domain proceedings begin for remaining holdouts. The premium structure is designed to encourage early voluntary participation; companies that negotiate early receive the most favorable terms.</w:t>
      </w:r>
    </w:p>
    <w:p>
      <w:pPr>
        <w:spacing w:after="240" w:before="480"/>
      </w:pPr>
      <w:r>
        <w:rPr>
          <w:rFonts w:ascii="Arial" w:cs="Arial" w:eastAsia="Arial" w:hAnsi="Arial"/>
          <w:b/>
          <w:bCs/>
          <w:color w:val="1F4E78"/>
          <w:sz w:val="36"/>
          <w:szCs w:val="36"/>
        </w:rPr>
        <w:t>Fair market value methodology. Fair market value for fiber assets is the higher of: replacement cost adjusted for depreciation (the cost to build comparable fiber today, less depreciation for age and condition); income approach (capitalized value of the fiber's revenue stream over its remaining useful life at a 7 percent discount rate); or comparable transactions (recent sales of similar fiber assets). An independent appraisal firm selected from a federal pre-qualified list conducts the valuation; companies have a right to a second appraisal at their own expense if they dispute the federal appraisal. Disputed valuations are resolved by a three-person arbitration panel (one federal appointee, one company appointee, one jointly-selected neutral).</w:t>
      </w:r>
    </w:p>
    <w:p>
      <w:pPr>
        <w:spacing w:after="240" w:before="480"/>
      </w:pPr>
      <w:r>
        <w:rPr>
          <w:rFonts w:ascii="Arial" w:cs="Arial" w:eastAsia="Arial" w:hAnsi="Arial"/>
          <w:b/>
          <w:bCs/>
          <w:color w:val="1F4E78"/>
          <w:sz w:val="36"/>
          <w:szCs w:val="36"/>
        </w:rPr>
        <w:t>Eminent domain backstop. After year 10, federal eminent domain authority under the existing Communications Act and the Fifth Amendment is used to acquire remaining fiber assets. Just compensation is set by federal court, with the appraisal methodology described above as the starting framework. Holdouts who force eminent domain proceedings receive only the base fair market value (no transition premium); they also bear their own legal costs in challenging the valuation. The eminent domain backstop ensures the transition completes; the transition premium structure ensures it completes mostly through voluntary negotiation rather than litigation.</w:t>
      </w:r>
    </w:p>
    <w:p>
      <w:pPr>
        <w:spacing w:after="240" w:before="480"/>
      </w:pPr>
      <w:r>
        <w:rPr>
          <w:rFonts w:ascii="Arial" w:cs="Arial" w:eastAsia="Arial" w:hAnsi="Arial"/>
          <w:b/>
          <w:bCs/>
          <w:color w:val="1F4E78"/>
          <w:sz w:val="36"/>
          <w:szCs w:val="36"/>
        </w:rPr>
        <w:t>Phased acquisition priority. The federal government acquires fiber in priority order: long-haul backbone first (years 1 through 3, approximately 800,000 miles); regional middle-mile second (years 3 through 6, approximately 1.5 million miles); last-mile third (years 6 through 10, approximately 2 million miles, including voluntary participation by municipal and cooperative networks). This priority ordering reflects strategic importance: backbone fiber is essential for national redundancy; middle-mile is essential for regional carrier interconnection; last-mile is the most extensive but also the most easily augmented through supplemental construction during the transition.</w:t>
      </w:r>
    </w:p>
    <w:p>
      <w:pPr>
        <w:pStyle w:val="Heading2"/>
        <w:spacing w:after="160" w:before="360"/>
      </w:pPr>
      <w:r>
        <w:rPr>
          <w:rFonts w:ascii="Arial" w:cs="Arial" w:eastAsia="Arial" w:hAnsi="Arial"/>
          <w:b/>
          <w:bCs/>
          <w:color w:val="1F4E78"/>
          <w:sz w:val="28"/>
          <w:szCs w:val="28"/>
        </w:rPr>
        <w:t>Pass-Through Prevention</w:t>
      </w:r>
    </w:p>
    <w:p>
      <w:pPr>
        <w:spacing w:after="240" w:before="480"/>
      </w:pPr>
      <w:r>
        <w:rPr>
          <w:rFonts w:ascii="Arial" w:cs="Arial" w:eastAsia="Arial" w:hAnsi="Arial"/>
          <w:b/>
          <w:bCs/>
          <w:color w:val="1F4E78"/>
          <w:sz w:val="36"/>
          <w:szCs w:val="36"/>
        </w:rPr>
        <w:t>The risk. The Federal Infrastructure Fee replaces the existing Universal Service Fund surcharge (currently approximately 35 percent of interstate telecommunications revenue) and consolidates state telecom taxes. For most consumers, the new fee should result in lower telecom bills because the federal fee structure is more efficient than the patchwork it replaces. However, companies have an incentive to treat the new fee as a windfall opportunity: pocket the savings from lower lease rates and consolidated tax structure while passing through the new federal fee as a line-item surcharge. This pattern occurred when the Universal Service Fund was created in 1996 (companies passed it through as a separate line item) and when the FCC restored net neutrality (companies retroactively raised rates). The platform must prevent this pattern.</w:t>
      </w:r>
    </w:p>
    <w:p>
      <w:pPr>
        <w:spacing w:after="240" w:before="480"/>
      </w:pPr>
      <w:r>
        <w:rPr>
          <w:rFonts w:ascii="Arial" w:cs="Arial" w:eastAsia="Arial" w:hAnsi="Arial"/>
          <w:b/>
          <w:bCs/>
          <w:color w:val="1F4E78"/>
          <w:sz w:val="36"/>
          <w:szCs w:val="36"/>
        </w:rPr>
        <w:t>Anti-pass-through architecture. Three mechanisms work together to prevent pass-through. Mechanism 1 is regulatory prohibition: the FCC explicitly prohibits telecom carriers from listing the Federal Infrastructure Fee as a separate line item on consumer bills. The fee is a cost of doing business that companies absorb into their advertised rates, like rent or labor costs, not a tax that consumers see directly. Carriers that violate this prohibition face civil penalties up to 1 percent of annual revenue per violation. Mechanism 2 is comparative rate transparency: the FCC publishes monthly average consumer rates by service tier and geography, making it visible if a carrier raises rates above the market average after the fee takes effect. Mechanism 3 is antitrust enforcement: the Department of Justice Antitrust Division treats coordinated rate increases by multiple carriers as evidence of price-fixing subject to Section 1 of the Sherman Act.</w:t>
      </w:r>
    </w:p>
    <w:p>
      <w:pPr>
        <w:spacing w:after="240" w:before="480"/>
      </w:pPr>
      <w:r>
        <w:rPr>
          <w:rFonts w:ascii="Arial" w:cs="Arial" w:eastAsia="Arial" w:hAnsi="Arial"/>
          <w:b/>
          <w:bCs/>
          <w:color w:val="1F4E78"/>
          <w:sz w:val="36"/>
          <w:szCs w:val="36"/>
        </w:rPr>
        <w:t>Why these three mechanisms together. Regulatory prohibition alone is insufficient because companies can effectively pass through the fee by raising their advertised rates rather than adding a line item. Rate transparency alone is insufficient because companies can coordinate rate increases without explicit communication (Section 1 conscious-parallelism doctrine). Antitrust enforcement alone is insufficient because price-fixing prosecutions require coordination evidence. Together, the three mechanisms create overlapping deterrents: a carrier tempted to pass through the fee faces direct FCC enforcement (Mechanism 1), competitive pressure if other carriers don't follow (Mechanism 2), and antitrust exposure if multiple carriers do follow (Mechanism 3).</w:t>
      </w:r>
    </w:p>
    <w:p>
      <w:pPr>
        <w:spacing w:after="240" w:before="480"/>
      </w:pPr>
      <w:r>
        <w:rPr>
          <w:rFonts w:ascii="Arial" w:cs="Arial" w:eastAsia="Arial" w:hAnsi="Arial"/>
          <w:b/>
          <w:bCs/>
          <w:color w:val="1F4E78"/>
          <w:sz w:val="36"/>
          <w:szCs w:val="36"/>
        </w:rPr>
        <w:t>Comparison to spectrum auction precedent. When the FCC auctions spectrum, winning carriers pay billions of dollars for the right to use frequencies. The FCC has historically prevented these auction costs from being passed through to consumers as line items, treating them as cost of doing business. The Federal Infrastructure Fee uses the same regulatory framework. The historical record shows this approach works for spectrum (no consumer-facing 'spectrum auction surcharge' line items exist on cell phone bills); the same framework is expected to work for infrastructure fees.</w:t>
      </w:r>
    </w:p>
    <w:p>
      <w:pPr>
        <w:spacing w:after="240" w:before="480"/>
      </w:pPr>
      <w:r>
        <w:rPr>
          <w:rFonts w:ascii="Arial" w:cs="Arial" w:eastAsia="Arial" w:hAnsi="Arial"/>
          <w:b/>
          <w:bCs/>
          <w:color w:val="1F4E78"/>
          <w:sz w:val="36"/>
          <w:szCs w:val="36"/>
        </w:rPr>
        <w:t>International comparison. Several peer nations operate federally-owned telecommunications infrastructure with cost-recovery pricing and successful pass-through prevention. New Zealand split Telecom New Zealand into Chorus (infrastructure) and Spark (services) in 2011; consumer prices fell rather than rose. Australia's National Broadband Network operates as wholesale-only with FCC-equivalent rate-setting; consumer prices are below the OECD average. South Korea's KT Corporation operates analogously. The international evidence supports the platform's expectation that cost-recovery rate-setting reduces consumer prices when accompanied by appropriate pass-through prevention.</w:t>
      </w:r>
    </w:p>
    <w:p>
      <w:pPr>
        <w:pStyle w:val="Heading2"/>
        <w:spacing w:after="160" w:before="360"/>
      </w:pPr>
      <w:r>
        <w:rPr>
          <w:rFonts w:ascii="Arial" w:cs="Arial" w:eastAsia="Arial" w:hAnsi="Arial"/>
          <w:b/>
          <w:bCs/>
          <w:color w:val="1F4E78"/>
          <w:sz w:val="28"/>
          <w:szCs w:val="28"/>
        </w:rPr>
        <w:t>Regulatory Body and Rulemaking</w:t>
      </w:r>
    </w:p>
    <w:p>
      <w:pPr>
        <w:spacing w:after="240" w:before="480"/>
      </w:pPr>
      <w:r>
        <w:rPr>
          <w:rFonts w:ascii="Arial" w:cs="Arial" w:eastAsia="Arial" w:hAnsi="Arial"/>
          <w:b/>
          <w:bCs/>
          <w:color w:val="1F4E78"/>
          <w:sz w:val="36"/>
          <w:szCs w:val="36"/>
        </w:rPr>
        <w:t>Allocation of authority. The Federal Communications Commission is the primary regulatory body for the Federal Infrastructure Fee. The FCC handles: rate-setting for cellular site leases (existing 47 USC Section 332 authority extended); anti-pass-through enforcement (existing FCC enforcement authority extended); fiber appraisal pre-qualified vendor list maintenance; consumer rate transparency publication; and disputes resolution. The Department of Commerce's National Telecommunications and Information Administration handles federal property ownership and operational management of acquired infrastructure. The Treasury Department handles fee collection and remittance to the General Fund (or to the Sovereign Investment Fund if so directed by appropriations). The Department of Justice Antitrust Division handles coordinated-pricing investigations. State public utility commissions retain jurisdiction over intrastate consumer protection issues but lose authority to set state telecom taxes preempted by the federal fee.</w:t>
      </w:r>
    </w:p>
    <w:p>
      <w:pPr>
        <w:spacing w:after="240" w:before="480"/>
      </w:pPr>
      <w:r>
        <w:rPr>
          <w:rFonts w:ascii="Arial" w:cs="Arial" w:eastAsia="Arial" w:hAnsi="Arial"/>
          <w:b/>
          <w:bCs/>
          <w:color w:val="1F4E78"/>
          <w:sz w:val="36"/>
          <w:szCs w:val="36"/>
        </w:rPr>
        <w:t>Rulemaking timeline. Year 1: Congress passes authorizing legislation. FCC issues Notice of Inquiry on rate-setting methodology and pass-through prevention. NTIA establishes property management organization. Year 2: FCC issues Notices of Proposed Rulemaking for rate-setting, anti-pass-through enforcement, and fiber appraisal procedures; public comment period; final rules issued. NTIA begins voluntary buyout negotiations for backbone fiber. Year 3 through 5: Voluntary buyouts for backbone and middle-mile fiber. Cellular tower acquisition begins. Initial rate-setting proceeding completes. Year 6 through 10: Last-mile fiber acquisition. Rate-setting reviews. State telecom tax sunset (states given five-year transition to adjust their budgets). Year 10: Eminent domain backstop available. Year 11: Universal Service Fund formally ends; replaced fully by Federal Infrastructure Fee.</w:t>
      </w:r>
    </w:p>
    <w:p>
      <w:pPr>
        <w:spacing w:after="240" w:before="480"/>
      </w:pPr>
      <w:r>
        <w:rPr>
          <w:rFonts w:ascii="Arial" w:cs="Arial" w:eastAsia="Arial" w:hAnsi="Arial"/>
          <w:b/>
          <w:bCs/>
          <w:color w:val="1F4E78"/>
          <w:sz w:val="36"/>
          <w:szCs w:val="36"/>
        </w:rPr>
        <w:t>Stakeholder engagement. The rulemaking process includes formal participation rights for: telecom carriers (AT&amp;T, Verizon, T-Mobile, regional carriers); cable companies (Comcast, Charter, regional cable); tower REITs (American Tower, Crown Castle, SBA Communications); state governments (through National Association of Regulatory Utility Commissioners); tribal nations (through formal government-to-government consultation per Executive Order 13175); consumer advocacy groups (Public Knowledge, Consumer Federation of America, regional consumer protection agencies); rural carriers (NTCA - The Rural Broadband Association); and labor unions representing telecom workers (Communication Workers of America). The rulemaking record is public; final rules include reasoned responses to substantive comments per the Administrative Procedure Act.</w:t>
      </w:r>
    </w:p>
    <w:p>
      <w:pPr>
        <w:pStyle w:val="Heading2"/>
        <w:spacing w:after="160" w:before="360"/>
      </w:pPr>
      <w:r>
        <w:rPr>
          <w:rFonts w:ascii="Arial" w:cs="Arial" w:eastAsia="Arial" w:hAnsi="Arial"/>
          <w:b/>
          <w:bCs/>
          <w:color w:val="1F4E78"/>
          <w:sz w:val="28"/>
          <w:szCs w:val="28"/>
        </w:rPr>
        <w:t>Open Questions and Risks</w:t>
      </w:r>
    </w:p>
    <w:p>
      <w:pPr>
        <w:spacing w:after="240" w:before="480"/>
      </w:pPr>
      <w:r>
        <w:rPr>
          <w:rFonts w:ascii="Arial" w:cs="Arial" w:eastAsia="Arial" w:hAnsi="Arial"/>
          <w:b/>
          <w:bCs/>
          <w:color w:val="1F4E78"/>
          <w:sz w:val="36"/>
          <w:szCs w:val="36"/>
        </w:rPr>
        <w:t>Open question 1: How does the transition affect competitive carriers? Smaller regional carriers and competitive local exchange carriers (CLECs) may face different transition challenges than the large national carriers. The platform's general principle is non-discriminatory federal infrastructure access at regulated rates, which should benefit smaller carriers (they currently pay higher lease rates and face higher tower-access costs). But the transition mechanics may create temporary cash flow stress as carriers adjust accounting for the new fee structure. The FCC rulemaking should address transition assistance for small carriers.</w:t>
      </w:r>
    </w:p>
    <w:p>
      <w:pPr>
        <w:spacing w:after="240" w:before="480"/>
      </w:pPr>
      <w:r>
        <w:rPr>
          <w:rFonts w:ascii="Arial" w:cs="Arial" w:eastAsia="Arial" w:hAnsi="Arial"/>
          <w:b/>
          <w:bCs/>
          <w:color w:val="1F4E78"/>
          <w:sz w:val="36"/>
          <w:szCs w:val="36"/>
        </w:rPr>
        <w:t>Open question 2: What happens to private investment incentives during the transition? Tower REITs (American Tower, Crown Castle, SBA Communications) and fiber companies will likely freeze new infrastructure investment once the transition is announced (why build infrastructure that the federal government will buy at fair-market-value-minus-decay-in-premium?). The platform addresses this through a three-pronged response: federal capital investment ramp during transition years 1 through 5 to maintain build-out pace; tax incentives for private investment in greenfield buildout (rural fiber especially); and explicit federal acquisition commitment for new infrastructure built during the transition (companies that build during transition years can sell to the federal government on the same terms as existing infrastructure). The combination is intended to maintain investment momentum during the transition.</w:t>
      </w:r>
    </w:p>
    <w:p>
      <w:pPr>
        <w:spacing w:after="240" w:before="480"/>
      </w:pPr>
      <w:r>
        <w:rPr>
          <w:rFonts w:ascii="Arial" w:cs="Arial" w:eastAsia="Arial" w:hAnsi="Arial"/>
          <w:b/>
          <w:bCs/>
          <w:color w:val="1F4E78"/>
          <w:sz w:val="36"/>
          <w:szCs w:val="36"/>
        </w:rPr>
        <w:t>Open question 3: How are tribal nation lands handled? Tribal nations have sovereign jurisdiction over telecommunications infrastructure on tribal lands per existing federal Indian law. The platform respects tribal sovereignty: infrastructure on tribal lands is federally acquired only with the consent of the tribal nation, on terms negotiated government-to-government. Tribal nations have the option to retain ownership of infrastructure on their lands and operate under federal cost-recovery rate-setting (with appropriate revenue sharing), or to transfer ownership to the federal government, or to maintain status quo private ownership. The platform's general public-purpose exemption covers tribal nation governments; tribal-owned infrastructure pays no Federal Infrastructure Fee. This question intersects with the broader tribal nation consultation framework that remains open as documented in OIR (Open Issues Registry) Section 3.</w:t>
      </w:r>
    </w:p>
    <w:p>
      <w:pPr>
        <w:spacing w:after="240" w:before="480"/>
      </w:pPr>
      <w:r>
        <w:rPr>
          <w:rFonts w:ascii="Arial" w:cs="Arial" w:eastAsia="Arial" w:hAnsi="Arial"/>
          <w:b/>
          <w:bCs/>
          <w:color w:val="1F4E78"/>
          <w:sz w:val="36"/>
          <w:szCs w:val="36"/>
        </w:rPr>
        <w:t>Risk 1: Capture by incumbent carriers. The FCC has a history of regulatory capture by the entities it regulates. The platform addresses this through structural safeguards: rotating commissioner appointments with staggered terms preventing single-administration capture; statutory rate-setting methodology constraints (cost basis defined in legislation, not delegated to agency discretion); transparency requirements (all proceedings public); and judicial review under the Administrative Procedure Act. These safeguards do not eliminate capture risk but they constrain how much damage capture can do.</w:t>
      </w:r>
    </w:p>
    <w:p>
      <w:pPr>
        <w:spacing w:after="240" w:before="480"/>
      </w:pPr>
      <w:r>
        <w:rPr>
          <w:rFonts w:ascii="Arial" w:cs="Arial" w:eastAsia="Arial" w:hAnsi="Arial"/>
          <w:b/>
          <w:bCs/>
          <w:color w:val="1F4E78"/>
          <w:sz w:val="36"/>
          <w:szCs w:val="36"/>
        </w:rPr>
        <w:t>Risk 2: Technology obsolescence during transition. The 10-year transition is long enough that some acquired infrastructure may become obsolete before amortization completes (5G deployment is ongoing; 6G research is active; new fiber technologies may emerge). The platform addresses this through accelerated depreciation provisions for technology becoming obsolete (5-year amortization rather than 30-year for affected categories); infrastructure modernization investments funded through the Sovereign Investment Fund's infrastructure allocation; and federal commitment to maintain infrastructure currency rather than letting it decay. The risk is real but manageable with appropriate investment policy.</w:t>
      </w:r>
    </w:p>
    <w:p>
      <w:pPr>
        <w:spacing w:after="240" w:before="480"/>
      </w:pPr>
      <w:r>
        <w:rPr>
          <w:rFonts w:ascii="Arial" w:cs="Arial" w:eastAsia="Arial" w:hAnsi="Arial"/>
          <w:b/>
          <w:bCs/>
          <w:color w:val="1F4E78"/>
          <w:sz w:val="36"/>
          <w:szCs w:val="36"/>
        </w:rPr>
        <w:t>Risk 3: International trade and treaty implications. Several existing US trade agreements include telecommunications service liberalization commitments. Federal acquisition of telecommunications infrastructure may trigger trade dispute proceedings under WTO General Agreement on Trade in Services or under regional trade agreements. The platform's response is that federal infrastructure ownership is consistent with the public-utility exception in most trade agreements (which preserve domestic regulatory authority over essential public services); but trade dispute resolution may be required to confirm this interpretation. The Office of the United States Trade Representative is responsible for managing these proceedings.</w:t>
      </w:r>
    </w:p>
    <w:p>
      <w:pPr>
        <w:pStyle w:val="Heading2"/>
        <w:spacing w:after="160" w:before="360"/>
      </w:pPr>
      <w:r>
        <w:rPr>
          <w:rFonts w:ascii="Arial" w:cs="Arial" w:eastAsia="Arial" w:hAnsi="Arial"/>
          <w:b/>
          <w:bCs/>
          <w:color w:val="1F4E78"/>
          <w:sz w:val="28"/>
          <w:szCs w:val="28"/>
        </w:rPr>
        <w:t>Response Framework: Competitive Carrier Transition Impact</w:t>
      </w:r>
    </w:p>
    <w:p>
      <w:pPr>
        <w:spacing w:after="240" w:before="480"/>
      </w:pPr>
      <w:r>
        <w:rPr>
          <w:rFonts w:ascii="Arial" w:cs="Arial" w:eastAsia="Arial" w:hAnsi="Arial"/>
          <w:b/>
          <w:bCs/>
          <w:color w:val="1F4E78"/>
          <w:sz w:val="36"/>
          <w:szCs w:val="36"/>
        </w:rPr>
        <w:t>This section articulates the platform's response framework for the first of three open questions noted in 'Open Questions and Risks' above: how competitive carriers (smaller incumbents, regional carriers, rural cooperatives, MVNOs) transition under the FIF (Federal Infrastructure Fee) architecture's federal infrastructure ownership model. Open Issues Registry ITEM79-Q1 tracked this question. Substantive resolution requires FCC rulemaking on transition assistance mechanisms and engagement with small-carrier industry associations; this section provides the platform's response framework while acknowledging external resolution remains required.</w:t>
      </w:r>
    </w:p>
    <w:p>
      <w:pPr>
        <w:spacing w:after="240" w:before="480"/>
      </w:pPr>
      <w:r>
        <w:rPr>
          <w:rFonts w:ascii="Arial" w:cs="Arial" w:eastAsia="Arial" w:hAnsi="Arial"/>
          <w:b/>
          <w:bCs/>
          <w:color w:val="1F4E78"/>
          <w:sz w:val="36"/>
          <w:szCs w:val="36"/>
        </w:rPr>
        <w:t>What the platform proposes. The FIF architecture distinguishes between physical infrastructure (cellular sites, fiber, switching equipment) and customer-facing service operations. Federal ownership applies to physical infrastructure; service operations remain in competitive markets. Carriers transition from owning physical infrastructure to leasing it under the cost-recovery rate structure described in the Cellular Site Lease Rate Setting section. The platform's intended transition assistance includes: (1) bridge loans to carriers facing cash flow disruption during the asset transfer; (2) accelerated tax depreciation on assets transferred to federal ownership; (3) technical assistance grants for smaller carriers lacking the regulatory and accounting expertise to navigate the transition; (4) priority access to leased infrastructure capacity for carriers serving specific underserved areas during the transition period; (5) explicit asset purchase rights for federal acquisition of carrier infrastructure at fair market value rather than forced divestiture.</w:t>
      </w:r>
    </w:p>
    <w:p>
      <w:pPr>
        <w:spacing w:after="240" w:before="480"/>
      </w:pPr>
      <w:r>
        <w:rPr>
          <w:rFonts w:ascii="Arial" w:cs="Arial" w:eastAsia="Arial" w:hAnsi="Arial"/>
          <w:b/>
          <w:bCs/>
          <w:color w:val="1F4E78"/>
          <w:sz w:val="36"/>
          <w:szCs w:val="36"/>
        </w:rPr>
        <w:t>What publicly available research suggests. The 1996 Telecommunications Act's transition from monopoly to competitive markets provides the closest historical analogue at substantial scale: incumbent local exchange carriers (ILECs) were required to provide competitive local exchange carriers (CLECs) access to network elements at regulated rates. Smaller CLECs faced substantial transition challenges; many did not survive. The transition mechanism worked best when supported by clear regulatory rules, predictable rate structures, and adequate transition periods. The 1934 Federal Communications Act consolidation involved similar transitions of smaller carriers into the AT&amp;T consolidated network; the consolidation was largely peaceful because smaller carriers received fair valuations and continued to operate as service providers. Rural electrification's REA cooperative model transitioned thousands of small electric utilities into a coherent national grid through cooperative ownership and federal financing — all small utilities survived the transition because the financing and rate structures were designed for their viability. The platform's FIF transition draws most directly on REA's cooperative-friendly model rather than on the 1996 Act's competitive-market model.</w:t>
      </w:r>
    </w:p>
    <w:p>
      <w:pPr>
        <w:spacing w:after="240" w:before="480"/>
      </w:pPr>
      <w:r>
        <w:rPr>
          <w:rFonts w:ascii="Arial" w:cs="Arial" w:eastAsia="Arial" w:hAnsi="Arial"/>
          <w:b/>
          <w:bCs/>
          <w:color w:val="1F4E78"/>
          <w:sz w:val="36"/>
          <w:szCs w:val="36"/>
        </w:rPr>
        <w:t>Platform response framework under different findings. If FCC rulemaking finds smaller carriers can transition with the proposed assistance package: implementation proceeds as designed. The transition is multi-year and assistance is calibrated to carrier size and circumstances. If FCC rulemaking finds the standard assistance package is insufficient for the smallest carriers (rural cooperatives, tribal carriers, MVNO entrants): supplemental assistance can be added without restructuring the FIF architecture. Specific options include extended bridge loan terms, longer depreciation periods, dedicated regulatory liaison capacity, and geographic priority allocations. If FCC rulemaking finds substantial carriers face existential risk requiring fundamentally different treatment: the platform's federal acquisition commitment provides fallback. Carriers facing existential risk under FIF can elect voluntary federal acquisition at fair market value, ending their carrier business but preserving capital invested. This is not the platform's preferred outcome but is an acceptable outcome that preserves carrier shareholder value.</w:t>
      </w:r>
    </w:p>
    <w:p>
      <w:pPr>
        <w:spacing w:after="240" w:before="480"/>
      </w:pPr>
      <w:r>
        <w:rPr>
          <w:rFonts w:ascii="Arial" w:cs="Arial" w:eastAsia="Arial" w:hAnsi="Arial"/>
          <w:b/>
          <w:bCs/>
          <w:color w:val="1F4E78"/>
          <w:sz w:val="36"/>
          <w:szCs w:val="36"/>
        </w:rPr>
        <w:t>What still requires external engagement. Specific FCC rulemaking on transition assistance mechanisms with public comment processes engaging carrier industry associations (NTCA for rural carriers, CTIA for major carriers, Rural Wireless Association for regional wireless carriers, ACA Connects for cable-based competitive carriers). Quantitative carrier-by-carrier impact analysis at FCC Form 477 data granularity. Identification of which specific carriers face highest transition risk and which face lowest. None of these analyses can be produced without FCC rulemaking authority and industry data access the platform does not include. ITEM79-Q1's status is updated in OIR Section 47 to partial mitigation; full resolution requires the FCC rulemaking process.</w:t>
      </w:r>
    </w:p>
    <w:p>
      <w:pPr>
        <w:pStyle w:val="Heading2"/>
        <w:spacing w:after="160" w:before="360"/>
      </w:pPr>
      <w:r>
        <w:rPr>
          <w:rFonts w:ascii="Arial" w:cs="Arial" w:eastAsia="Arial" w:hAnsi="Arial"/>
          <w:b/>
          <w:bCs/>
          <w:color w:val="1F4E78"/>
          <w:sz w:val="28"/>
          <w:szCs w:val="28"/>
        </w:rPr>
        <w:t>Response Framework: Private Investment Incentives During Transition</w:t>
      </w:r>
    </w:p>
    <w:p>
      <w:pPr>
        <w:spacing w:after="240" w:before="480"/>
      </w:pPr>
      <w:r>
        <w:rPr>
          <w:rFonts w:ascii="Arial" w:cs="Arial" w:eastAsia="Arial" w:hAnsi="Arial"/>
          <w:b/>
          <w:bCs/>
          <w:color w:val="1F4E78"/>
          <w:sz w:val="36"/>
          <w:szCs w:val="36"/>
        </w:rPr>
        <w:t>This section addresses the second open question: how do private carriers (large and small) decide whether to continue investing in infrastructure during the announced transition, and what happens to infrastructure capacity if private investment stalls in anticipation of federal acquisition? Open Issues Registry ITEM79-Q2 tracked this question. Substantive resolution requires carrier behavior modeling under announced-transition scenarios; this section provides the platform's response framework while acknowledging external behavioral modeling remains required.</w:t>
      </w:r>
    </w:p>
    <w:p>
      <w:pPr>
        <w:spacing w:after="240" w:before="480"/>
      </w:pPr>
      <w:r>
        <w:rPr>
          <w:rFonts w:ascii="Arial" w:cs="Arial" w:eastAsia="Arial" w:hAnsi="Arial"/>
          <w:b/>
          <w:bCs/>
          <w:color w:val="1F4E78"/>
          <w:sz w:val="36"/>
          <w:szCs w:val="36"/>
        </w:rPr>
        <w:t>What the platform proposes. The FIF architecture's transition design includes a three-pronged response to private investment incentive concerns: (1) federal capital ramp during the transition period — federal infrastructure investment increases as private investment potentially decreases, ensuring no capability gap emerges; (2) tax incentives for continued private investment during the transition — carriers that continue capital investment receive accelerated depreciation and credits offsetting their transition costs; (3) federal acquisition commitment at fair market value — carriers know their infrastructure investments will be acquired at fair market value rather than stranded, removing the disincentive to continue investing during the transition window. The combined effect is designed to maintain investment continuity through the transition.</w:t>
      </w:r>
    </w:p>
    <w:p>
      <w:pPr>
        <w:spacing w:after="240" w:before="480"/>
      </w:pPr>
      <w:r>
        <w:rPr>
          <w:rFonts w:ascii="Arial" w:cs="Arial" w:eastAsia="Arial" w:hAnsi="Arial"/>
          <w:b/>
          <w:bCs/>
          <w:color w:val="1F4E78"/>
          <w:sz w:val="36"/>
          <w:szCs w:val="36"/>
        </w:rPr>
        <w:t>What publicly available research suggests. Announced-transition scenarios in regulated industries produce consistent behavioral patterns. The UK telecommunications privatization in the 1980s (in reverse direction — privatization rather than federalization) showed that incumbent investment continued during the transition period because investments were acquired at agreed valuations. The Norwegian banking restructuring of the early 1990s preserved investment continuity through explicit valuation commitments. The United States Postal Service modernization commitments have been less successful at preserving private complementary investment because USPS commitments have been less reliable; this is a cautionary case rather than a positive analogue. The pattern across successful announced transitions is that fair valuation commitments with credible enforcement mechanisms preserve investment continuity; transitions without these commitments produce investment stalls.</w:t>
      </w:r>
    </w:p>
    <w:p>
      <w:pPr>
        <w:spacing w:after="240" w:before="480"/>
      </w:pPr>
      <w:r>
        <w:rPr>
          <w:rFonts w:ascii="Arial" w:cs="Arial" w:eastAsia="Arial" w:hAnsi="Arial"/>
          <w:b/>
          <w:bCs/>
          <w:color w:val="1F4E78"/>
          <w:sz w:val="36"/>
          <w:szCs w:val="36"/>
        </w:rPr>
        <w:t>Reasonable bounds on the magnitude of investment behavioral effects. Empirical literature on announced regulatory changes suggests private capital investment typically reduces by 10-30 percent during the announcement-to-implementation period absent transition assistance. With well-designed transition assistance (fair valuation, tax credits, asset purchase rights), the reduction is typically 5-15 percent. The platform's FIF transition assistance is designed for the lower end of this range, but the actual reduction will depend on implementation specifics that the platform's current documentation does not pre-specify.</w:t>
      </w:r>
    </w:p>
    <w:p>
      <w:pPr>
        <w:spacing w:after="240" w:before="480"/>
      </w:pPr>
      <w:r>
        <w:rPr>
          <w:rFonts w:ascii="Arial" w:cs="Arial" w:eastAsia="Arial" w:hAnsi="Arial"/>
          <w:b/>
          <w:bCs/>
          <w:color w:val="1F4E78"/>
          <w:sz w:val="36"/>
          <w:szCs w:val="36"/>
        </w:rPr>
        <w:t>Platform response framework under different findings. If carrier behavior modeling finds investment continues at acceptable levels during the transition: the federal capital ramp is calibrated to complement rather than substitute for private investment, and infrastructure capacity is preserved or improved through the transition. If modeling finds investment substantially decreases (creating capability gaps in specific geographies or service categories): the federal capital ramp is accelerated to fill gaps before they emerge. The platform's federal infrastructure capacity ramp can be calibrated upward without restructuring the architecture. If modeling finds carriers strategically divest assets in anticipation of federal acquisition (creating distressed asset markets): the federal acquisition timeline can be accelerated for affected categories, taking ownership before strategic divestitures depress fair market value. The fair market value commitment constrains opportunistic carrier behavior in either direction.</w:t>
      </w:r>
    </w:p>
    <w:p>
      <w:pPr>
        <w:spacing w:after="240" w:before="480"/>
      </w:pPr>
      <w:r>
        <w:rPr>
          <w:rFonts w:ascii="Arial" w:cs="Arial" w:eastAsia="Arial" w:hAnsi="Arial"/>
          <w:b/>
          <w:bCs/>
          <w:color w:val="1F4E78"/>
          <w:sz w:val="36"/>
          <w:szCs w:val="36"/>
        </w:rPr>
        <w:t>What still requires external engagement. Empirical carrier behavior modeling at firm-level granularity using FCC Form 477, FCC Form 481 (rural carriers), and CMRS Competition Reports data. Identification of which carrier categories are most likely to reduce investment during transition versus which are most likely to maintain or increase investment. Specific tax incentive structures that maximize investment continuity at minimum federal cost. None of these analyses can be produced without industry behavioral modeling expertise and access to non-public carrier financial data. ITEM79-Q2's status in OIR Section 47 is updated to partial mitigation; full resolution requires industry behavior modeling and supplemental FCC engagement.</w:t>
      </w:r>
    </w:p>
    <w:p>
      <w:pPr>
        <w:pStyle w:val="Heading2"/>
        <w:spacing w:after="160" w:before="360"/>
      </w:pPr>
      <w:r>
        <w:rPr>
          <w:rFonts w:ascii="Arial" w:cs="Arial" w:eastAsia="Arial" w:hAnsi="Arial"/>
          <w:b/>
          <w:bCs/>
          <w:color w:val="1F4E78"/>
          <w:sz w:val="28"/>
          <w:szCs w:val="28"/>
        </w:rPr>
        <w:t>Response Framework: Tribal Nation Lands and Federal Infrastructure</w:t>
      </w:r>
    </w:p>
    <w:p>
      <w:pPr>
        <w:spacing w:after="240" w:before="480"/>
      </w:pPr>
      <w:r>
        <w:rPr>
          <w:rFonts w:ascii="Arial" w:cs="Arial" w:eastAsia="Arial" w:hAnsi="Arial"/>
          <w:b/>
          <w:bCs/>
          <w:color w:val="1F4E78"/>
          <w:sz w:val="36"/>
          <w:szCs w:val="36"/>
        </w:rPr>
        <w:t>This section addresses the third open question: how does the FIF architecture interact with tribal nation sovereignty over telecommunications infrastructure on tribal lands? Open Issues Registry ITEM79-Q3 tracked this question and noted that it intersects the broader tribal nation consultation framework that is open across the platform. Substantive resolution requires actual government-to-government consultation with tribal nations; this section provides the platform's framework for that consultation while acknowledging the consultation itself remains to be conducted.</w:t>
      </w:r>
    </w:p>
    <w:p>
      <w:pPr>
        <w:spacing w:after="240" w:before="480"/>
      </w:pPr>
      <w:r>
        <w:rPr>
          <w:rFonts w:ascii="Arial" w:cs="Arial" w:eastAsia="Arial" w:hAnsi="Arial"/>
          <w:b/>
          <w:bCs/>
          <w:color w:val="1F4E78"/>
          <w:sz w:val="36"/>
          <w:szCs w:val="36"/>
        </w:rPr>
        <w:t>What the platform proposes. Federal Infrastructure Fee architecture applies to telecommunications infrastructure on lands under federal or state jurisdiction. Lands under tribal nation jurisdiction are treated under government-to-government consultation principles established in Executive Order 13175 (Consultation and Coordination with Indian Tribal Governments) and reinforced in subsequent executive orders. Three architectural elements apply: (1) tribal nations may opt into FIF architecture for telecommunications infrastructure on their lands, with the same federal infrastructure ownership model and lease rates as elsewhere; (2) tribal nations may opt out and maintain existing telecommunications infrastructure arrangements, with explicit acknowledgment that tribal sovereignty extends to telecommunications regulatory authority on tribal lands; (3) hybrid arrangements (federal infrastructure ownership with tribal nation operational authority, federal financing with tribal nation infrastructure ownership, etc.) can be negotiated nation-by-nation reflecting the diverse circumstances of the 574 federally-recognized tribes.</w:t>
      </w:r>
    </w:p>
    <w:p>
      <w:pPr>
        <w:spacing w:after="240" w:before="480"/>
      </w:pPr>
      <w:r>
        <w:rPr>
          <w:rFonts w:ascii="Arial" w:cs="Arial" w:eastAsia="Arial" w:hAnsi="Arial"/>
          <w:b/>
          <w:bCs/>
          <w:color w:val="1F4E78"/>
          <w:sz w:val="36"/>
          <w:szCs w:val="36"/>
        </w:rPr>
        <w:t>Existing frameworks the platform draws on. Executive Order 13175 establishes consultation requirements for federal actions affecting tribal nations, including the requirement that federal agencies consult with tribal officials early in the process. The National Historic Preservation Act Section 106 establishes consultation frameworks specifically for infrastructure projects affecting tribal cultural resources. The National Environmental Policy Act has tribal consultation requirements for infrastructure projects with environmental implications. The Indian Self-Determination and Education Assistance Act establishes tribal nation authority over federal programs serving their members. The Indian Child Welfare Act establishes tribal jurisdiction over child welfare matters. These frameworks together provide a robust precedent for federal-tribal consultation on infrastructure matters that the FIF architecture would extend to telecommunications.</w:t>
      </w:r>
    </w:p>
    <w:p>
      <w:pPr>
        <w:spacing w:after="240" w:before="480"/>
      </w:pPr>
      <w:r>
        <w:rPr>
          <w:rFonts w:ascii="Arial" w:cs="Arial" w:eastAsia="Arial" w:hAnsi="Arial"/>
          <w:b/>
          <w:bCs/>
          <w:color w:val="1F4E78"/>
          <w:sz w:val="36"/>
          <w:szCs w:val="36"/>
        </w:rPr>
        <w:t>Specific consultation requirements. Government-to-government consultation with each affected tribal nation, conducted by federal officials with appropriate authority (not staff). Early consultation before architectural decisions are finalized, not after. Recognition of tribal nation sovereignty as government-level rather than stakeholder-level (tribal nations are sovereign governments, not interest groups). Free, prior, and informed consent principles consistent with the United Nations Declaration on the Rights of Indigenous Peoples. Resourcing for tribal nation participation in the consultation process (consultation should not impose net costs on tribal nations). Documentation of consultation outcomes including specific commitments and follow-up mechanisms.</w:t>
      </w:r>
    </w:p>
    <w:p>
      <w:pPr>
        <w:spacing w:after="240" w:before="480"/>
      </w:pPr>
      <w:r>
        <w:rPr>
          <w:rFonts w:ascii="Arial" w:cs="Arial" w:eastAsia="Arial" w:hAnsi="Arial"/>
          <w:b/>
          <w:bCs/>
          <w:color w:val="1F4E78"/>
          <w:sz w:val="36"/>
          <w:szCs w:val="36"/>
        </w:rPr>
        <w:t>Platform response framework under different findings. If consultation finds tribal nations broadly support FIF architecture on their lands: implementation proceeds with tribal-nation-by-tribal-nation opt-in. The infrastructure ownership and lease rate structures apply with appropriate adjustments for tribal sovereignty. Federal universal service obligations are extended to ensure tribal nation broadband access at FIF rates. If consultation finds tribal nations broadly oppose FIF architecture on their lands: the platform respects this outcome. Tribal nations maintain existing telecommunications infrastructure arrangements, with federal support for tribal-nation-owned infrastructure where requested. Universal broadband access goals on tribal lands are pursued through existing tribal nation telecommunications authority structures, with federal financing and technical assistance available. If consultation finds different tribal nations have different preferences: nation-by-nation hybrid arrangements are negotiated. This is the most likely outcome given the 574 federally-recognized tribes' substantial diversity of circumstances and preferences. The platform's architecture supports nation-by-nation customization without restructuring core commitments.</w:t>
      </w:r>
    </w:p>
    <w:p>
      <w:pPr>
        <w:spacing w:after="240" w:before="480"/>
      </w:pPr>
      <w:r>
        <w:rPr>
          <w:rFonts w:ascii="Arial" w:cs="Arial" w:eastAsia="Arial" w:hAnsi="Arial"/>
          <w:b/>
          <w:bCs/>
          <w:color w:val="1F4E78"/>
          <w:sz w:val="36"/>
          <w:szCs w:val="36"/>
        </w:rPr>
        <w:t>Broader tribal nation consultation framework. ITEM79-Q3 noted that this question intersects the broader tribal nation consultation framework that is open across the platform. The platform's interaction with tribal nations extends beyond FIF to: Universal Healthcare Access on tribal lands (Indian Health Service interaction); Community Contribution Plan eligibility for tribal members (retirement architecture); Wage Floors on tribal lands (employment and labor architecture); Sovereign Education Fund for tribal members (education architecture). A platform-wide tribal nation consultation framework should articulate how these various intersections are handled coherently rather than addressing each in isolation. This framework is acknowledged as open work that the platform has not yet fully developed; the FIF-specific framework articulated above is consistent with what a platform-wide framework would establish.</w:t>
      </w:r>
    </w:p>
    <w:p>
      <w:pPr>
        <w:spacing w:after="240" w:before="480"/>
      </w:pPr>
      <w:r>
        <w:rPr>
          <w:rFonts w:ascii="Arial" w:cs="Arial" w:eastAsia="Arial" w:hAnsi="Arial"/>
          <w:b/>
          <w:bCs/>
          <w:color w:val="1F4E78"/>
          <w:sz w:val="36"/>
          <w:szCs w:val="36"/>
        </w:rPr>
        <w:t>What still requires external engagement. Actual government-to-government consultation with the 574 federally-recognized tribes (or their designated representatives) is the central work remaining. This consultation cannot be substituted for by the platform's framework articulation. Quantitative analysis of broadband access gaps on tribal lands using the most recent data from the National Tribal Telecommunications Association and the FCC's Tribal Broadband Connectivity Program. Coordination protocols between FIF implementation and existing tribal nation telecommunications regulatory authorities. Resourcing for tribal nation participation in consultation and implementation. None of this work has been performed; ITEM79-Q3 status in OIR Section 47 is updated to partial mitigation; full resolution requires actual tribal nation consultation that has not yet been conducted.</w:t>
      </w:r>
    </w:p>
    <w:p>
      <w:pPr>
        <w:pStyle w:val="Heading2"/>
        <w:spacing w:after="160" w:before="360"/>
      </w:pPr>
      <w:r>
        <w:rPr>
          <w:rFonts w:ascii="Arial" w:cs="Arial" w:eastAsia="Arial" w:hAnsi="Arial"/>
          <w:b/>
          <w:bCs/>
          <w:color w:val="1F4E78"/>
          <w:sz w:val="28"/>
          <w:szCs w:val="28"/>
        </w:rPr>
        <w:t>Phase Transition Trigger Conditions and Contingency Treatment</w:t>
      </w:r>
    </w:p>
    <w:p>
      <w:pPr>
        <w:spacing w:after="240" w:before="480"/>
      </w:pPr>
      <w:r>
        <w:rPr>
          <w:rFonts w:ascii="Arial" w:cs="Arial" w:eastAsia="Arial" w:hAnsi="Arial"/>
          <w:b/>
          <w:bCs/>
          <w:color w:val="1F4E78"/>
          <w:sz w:val="36"/>
          <w:szCs w:val="36"/>
        </w:rPr>
        <w:t>This section addresses a transition-timeline-opaque finding from the v3.1.0 telecom-industry persona simulation. The preceding sections describe transition phases at the architectural level without specifying trigger conditions for phase transitions or contingency treatment if transition assumptions prove wrong. Carriers evaluating capital-allocation decisions during transition would reasonably want this specificity. This section provides it.</w:t>
      </w:r>
    </w:p>
    <w:p>
      <w:pPr>
        <w:spacing w:after="240" w:before="480"/>
      </w:pPr>
      <w:r>
        <w:rPr>
          <w:rFonts w:ascii="Arial" w:cs="Arial" w:eastAsia="Arial" w:hAnsi="Arial"/>
          <w:b/>
          <w:bCs/>
          <w:color w:val="1F4E78"/>
          <w:sz w:val="36"/>
          <w:szCs w:val="36"/>
        </w:rPr>
        <w:t>Phase transition trigger conditions. Phase transitions are governed by quantitative milestones rather than calendar dates alone. Specifically: Phase 1-to-2 transition triggers when subscriber-migration to federal infrastructure reaches 30 percent of addressable subscribers in a state-level service area, OR when 36 months have elapsed since Phase 1 initiation, whichever comes first. Phase 2-to-3 transition triggers when subscriber-migration reaches 60 percent OR 60 months have elapsed. Phase 3-to-final transition triggers when subscriber-migration reaches 85 percent OR 84 months have elapsed. The combined milestone-or-time triggers ensure that transition does not stall if migration runs slower than projected while also allowing acceleration if migration runs faster.</w:t>
      </w:r>
    </w:p>
    <w:p>
      <w:pPr>
        <w:spacing w:after="240" w:before="480"/>
      </w:pPr>
      <w:r>
        <w:rPr>
          <w:rFonts w:ascii="Arial" w:cs="Arial" w:eastAsia="Arial" w:hAnsi="Arial"/>
          <w:b/>
          <w:bCs/>
          <w:color w:val="1F4E78"/>
          <w:sz w:val="36"/>
          <w:szCs w:val="36"/>
        </w:rPr>
        <w:t>Contingency: migration faster than projected. If subscriber migration runs faster than projected, the trigger conditions automatically advance the phase transition. Carriers would observe accelerated phase transitions in their state-level service areas. The architectural impact is: capital depreciation schedules for legacy infrastructure compress to match the faster transition; FIF rate adjustments occur earlier than the calendar-only schedule would have produced; carriers' transition-related restructuring costs are deferred-tax-eligible at the federal level under standard capital-gains-and-losses treatment for assets retired ahead of book-life. The platform's position is that faster-than-projected migration is a favorable scenario for consumers and is therefore a scenario the transition mechanics should accommodate rather than penalize.</w:t>
      </w:r>
    </w:p>
    <w:p>
      <w:pPr>
        <w:spacing w:after="240" w:before="480"/>
      </w:pPr>
      <w:r>
        <w:rPr>
          <w:rFonts w:ascii="Arial" w:cs="Arial" w:eastAsia="Arial" w:hAnsi="Arial"/>
          <w:b/>
          <w:bCs/>
          <w:color w:val="1F4E78"/>
          <w:sz w:val="36"/>
          <w:szCs w:val="36"/>
        </w:rPr>
        <w:t>Contingency: migration slower than projected. If subscriber migration runs slower than projected, the calendar-based portion of the trigger condition advances the phase transition. Carriers would observe phase transitions occurring on calendar even when subscriber-migration milestones have not been reached. The architectural impact is: carriers retain a longer period of dual-infrastructure operation than the milestone-only schedule would have produced; FIF rate adjustments may produce temporary rate stress during the extended dual-infrastructure period; the platform's emergency rate-adjustment mechanism may trigger to provide carriers temporary relief. The platform's position is that slower-than-projected migration is a scenario the transition mechanics must accommodate without forcing carriers into financial distress.</w:t>
      </w:r>
    </w:p>
    <w:p>
      <w:pPr>
        <w:spacing w:after="240" w:before="480"/>
      </w:pPr>
      <w:r>
        <w:rPr>
          <w:rFonts w:ascii="Arial" w:cs="Arial" w:eastAsia="Arial" w:hAnsi="Arial"/>
          <w:b/>
          <w:bCs/>
          <w:color w:val="1F4E78"/>
          <w:sz w:val="36"/>
          <w:szCs w:val="36"/>
        </w:rPr>
        <w:t>Stranded asset treatment. Legacy infrastructure investments that become economically obsolete during transition (stranded assets) receive structured treatment under the platform's transition mechanics. Specifically: carriers may apply for stranded-asset write-down certification from the Federal Infrastructure Operator, which provides federal review of the carrier's stranded-asset claim; certified write-downs are treated as ordinary business losses for federal tax purposes; the Federal Infrastructure Operator may, at its discretion, acquire stranded assets at depreciated book value where federal infrastructure deployment can use the assets (producing a structured exit for the carrier rather than a forced write-down). The acquisition mechanism is voluntary on both sides; carriers retain the option to write down rather than transfer.</w:t>
      </w:r>
    </w:p>
    <w:p>
      <w:pPr>
        <w:spacing w:after="240" w:before="480"/>
      </w:pPr>
      <w:r>
        <w:rPr>
          <w:rFonts w:ascii="Arial" w:cs="Arial" w:eastAsia="Arial" w:hAnsi="Arial"/>
          <w:b/>
          <w:bCs/>
          <w:color w:val="1F4E78"/>
          <w:sz w:val="36"/>
          <w:szCs w:val="36"/>
        </w:rPr>
        <w:t>Why this matters for capital-allocation decisions. Carriers planning capital-allocation decisions during transition need to know not only the projected transition timeline but also what happens if the projection is wrong. The persona finding identified that without contingency specifications, capital-allocation decisions cannot be made with confidence. The trigger-condition and contingency architecture above provides the specificity that enables capital allocation: carriers can model fast-migration and slow-migration scenarios with explicit platform responses to each, rather than relying on goodwill or ad-hoc adjustments. Specific milestone definitions, rate-adjustment formulas, and stranded-asset valuation methods are implementation matters that would be developed through rule-making.</w:t>
      </w:r>
    </w:p>
    <w:p>
      <w:pPr>
        <w:pStyle w:val="Heading2"/>
        <w:spacing w:after="160" w:before="360"/>
      </w:pPr>
      <w:r>
        <w:rPr>
          <w:rFonts w:ascii="Arial" w:cs="Arial" w:eastAsia="Arial" w:hAnsi="Arial"/>
          <w:b/>
          <w:bCs/>
          <w:color w:val="1F4E78"/>
          <w:sz w:val="28"/>
          <w:szCs w:val="28"/>
        </w:rPr>
        <w:t>Cross-References</w:t>
      </w:r>
    </w:p>
    <w:p>
      <w:pPr>
        <w:spacing w:after="240" w:before="480"/>
      </w:pPr>
      <w:r>
        <w:rPr>
          <w:rFonts w:ascii="Arial" w:cs="Arial" w:eastAsia="Arial" w:hAnsi="Arial"/>
          <w:b/>
          <w:bCs/>
          <w:color w:val="1F4E78"/>
          <w:sz w:val="36"/>
          <w:szCs w:val="36"/>
        </w:rPr>
        <w:t>This document substantiates open questions deferred from Federal Infrastructure Fee. It cross-references Wage Floors as Tax Architecture for the broader tax architecture framework; Federal Fiscal Impact Analysis for revenue projections; Open Issues Registry for status of remaining tribal nation consultation work; Emergency Services Communications Modernization for the broader broadband infrastructure context. The fee architecture itself is in the Federal Infrastructure Fee document; the Calculator implements the architecture for individual business calculations; this document addresses the regulatory and transition mechanics that implement the architecture at scale.</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