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FEDERAL FISCAL IMPACT ANALYSIS</w:t>
      </w:r>
    </w:p>
    <w:p>
      <w:pPr>
        <w:spacing w:after="200"/>
        <w:jc w:val="center"/>
      </w:pPr>
      <w:r>
        <w:rPr>
          <w:rFonts w:ascii="Arial" w:cs="Arial" w:eastAsia="Arial" w:hAnsi="Arial"/>
          <w:b/>
          <w:bCs/>
          <w:color w:val="1F4E78"/>
          <w:sz w:val="46"/>
          <w:szCs w:val="46"/>
        </w:rPr>
        <w:t xml:space="preserve">AND COSTS</w:t>
      </w:r>
    </w:p>
    <w:p>
      <w:pPr>
        <w:spacing w:after="200"/>
        <w:jc w:val="center"/>
      </w:pPr>
      <w:r>
        <w:rPr>
          <w:rFonts w:ascii="Arial" w:cs="Arial" w:eastAsia="Arial" w:hAnsi="Arial"/>
          <w:i/>
          <w:iCs/>
          <w:color w:val="C00000"/>
          <w:sz w:val="28"/>
          <w:szCs w:val="28"/>
        </w:rPr>
        <w:t>Net Impact on Federal Deficit Across the Deployment Timeline</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What does the platform deliver to each citizen?</w:t>
      </w:r>
    </w:p>
    <w:p>
      <w:pPr>
        <w:spacing w:after="200"/>
        <w:jc w:val="center"/>
      </w:pPr>
      <w:r>
        <w:rPr>
          <w:rFonts w:ascii="Georgia" w:cs="Georgia" w:eastAsia="Georgia" w:hAnsi="Georgia"/>
          <w:i/>
          <w:iCs/>
          <w:color w:val="1A1A1A"/>
          <w:sz w:val="24"/>
          <w:szCs w:val="24"/>
        </w:rPr>
        <w:t xml:space="preserve">What does it cost them?</w:t>
      </w:r>
    </w:p>
    <w:p>
      <w:pPr>
        <w:spacing w:after="1200"/>
        <w:jc w:val="center"/>
      </w:pPr>
      <w:r>
        <w:rPr>
          <w:rFonts w:ascii="Georgia" w:cs="Georgia" w:eastAsia="Georgia" w:hAnsi="Georgia"/>
          <w:i/>
          <w:iCs/>
          <w:color w:val="1A1A1A"/>
          <w:sz w:val="24"/>
          <w:szCs w:val="24"/>
        </w:rPr>
        <w:t xml:space="preserve">And how do those numbers evolve as the platform deploys?</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v1.10  ·  Created May 5, 2026 for v2.10  ·  Updated May 6, 2026 for v2.21 (dental/vision scope note in Honest Acknowledgments)  ·  Updated May 6, 2026 for v2.26.1 (broadband line updated to Path B; infrastructure fee revenue added; v2.26.1 patch notes)  ·  Updated May 6, 2026 for v2.26.2 (SIG-8: gross/net distinction added)  ·  Updated May 6, 2026 for v2.27.4 (RATE-DOC-MISSING: 0.5% and 2.5% rates explicitly documented in wealth tax architecture line)  ·  Updated May 6, 2026 for v2.30 (modified income tax architecture line added per item 81 substantiation; OPEN-3 closed at Federal Fiscal Impact Analysis (FFIA) level)  ·  Updated May 6, 2026 for v2.30.29 (RESEARCH-5 4 percent return parallel scenario added)  ·  Updated May 7, 2026 for v3.2.0 (Pillar Eight added; pillar count seven to eight)  ·  Updated May 10, 2026 for v3.7.15 (Pillar 3 component breakdown added)</w:t>
      </w:r>
    </w:p>
    <w:p>
      <w:pPr>
        <w:jc w:val="center"/>
      </w:pPr>
      <w:r>
        <w:rPr>
          <w:rFonts w:ascii="Georgia" w:cs="Georgia" w:eastAsia="Georgia" w:hAnsi="Georgia"/>
          <w:color w:val="595959"/>
          <w:sz w:val="20"/>
          <w:szCs w:val="20"/>
        </w:rPr>
        <w:t xml:space="preserve">Ohio  ·  2026</w:t>
      </w:r>
    </w:p>
    <w:p>
      <w:r>
        <w:br w:type="page"/>
      </w:r>
    </w:p>
    <w:p>
      <w:pPr>
        <w:spacing w:before="480"/>
        <w:jc w:val="center"/>
      </w:pPr>
      <w:r>
        <w:rPr>
          <w:rFonts w:ascii="Arial" w:cs="Arial" w:eastAsia="Arial" w:hAnsi="Arial"/>
          <w:i/>
          <w:iCs/>
          <w:color w:val="595959"/>
          <w:sz w:val="16"/>
          <w:szCs w:val="16"/>
        </w:rPr>
        <w:t>Sources Baseline. Numerical claims in this document derive from the canonical sources cataloged in 05_Sources_And_Derivation_Convention.docx, including: IRS Statistics of Income 2023 baseline for tax-revenue projections; CMS National Health Expenditure data 2023 for healthcare spending; Census Bureau and BLS for population and labor force denominators; ASCE Infrastructure Report Card 2025 for civic infrastructure investment gaps; FAMILY Act modeling and state paid family leave program data for Pillar Eight cost projections; Quebec childcare program evaluations and U.S. childcare cost surveys for childcare cost projections; FCC and FTC data for broadband and identity-theft figures. Aggregate fiscal trajectories trace to the Combined Reform Model (04_Combined_Reform_Model.xlsx). Empirical claims requiring external credentialed review are tracked in Open Issues Registry RESEARCH items.</w:t>
      </w:r>
    </w:p>
    <w:p>
      <w:pPr>
        <w:pStyle w:val="Heading1"/>
        <w:spacing w:after="240" w:before="480"/>
      </w:pPr>
      <w:r>
        <w:rPr>
          <w:rFonts w:ascii="Arial" w:cs="Arial" w:eastAsia="Arial" w:hAnsi="Arial"/>
          <w:b/>
          <w:bCs/>
          <w:color w:val="1F4E78"/>
          <w:sz w:val="36"/>
          <w:szCs w:val="36"/>
        </w:rPr>
        <w:t>The Question This Document Addresses</w:t>
      </w:r>
    </w:p>
    <w:p>
      <w:pPr>
        <w:spacing w:after="240" w:line="340"/>
        <w:jc w:val="both"/>
      </w:pPr>
      <w:r>
        <w:rPr>
          <w:rFonts w:ascii="Georgia" w:cs="Georgia" w:eastAsia="Georgia" w:hAnsi="Georgia"/>
          <w:color w:val="1A1A1A"/>
          <w:sz w:val="24"/>
          <w:szCs w:val="24"/>
        </w:rPr>
        <w:t>The platform commits to substantial new federal spending across twelve pillars (three primary, three adjacent, Civic Infrastructure, Universal Paid Family Time, Universal Long-Term Care, Federal Housing Investment, Climate Architecture, plus Immigration Architecture) totaling approximately $4.7 trillion per year for the first ten pillars; Pillar Eleven (Climate Architecture) is fiscally independent (revenue fully recycled); Pillar Twelve (Immigration Architecture) has gross expenditure of approximately $30-50 billion per year offset by positive net fiscal impact on the 10-to-20-year horizon per CBO scoring of comparable proposals (Pillar Ten adds approximately $145 billion gross with approximately $70 billion absorbed from existing federal housing program substitution and approximately $75 billion in net new federal commitment) (Pillar Nine adds approximately $525 to $700 billion gross before existing-program-substitution savings) at mature steady state. The platform also creates substantial new federal revenue through payroll contributions, modified income tax architecture, and Sovereign Fund disbursements. The Per-Citizen Benefits and Costs document and the Combined Reform Model develop the per-household and per-pillar fiscal pictures, but no single document presents the consolidated impact on the federal budget. This document fills that gap. A serious policy reviewer evaluating the platform will ask within minutes: what is the net impact on the federal deficit? An informed answer requires consolidating across pillars, accounting for absorbed existing programs, and being honest about how the answer changes between the early transition years and mature steady state.</w:t>
      </w:r>
    </w:p>
    <w:p>
      <w:pPr>
        <w:pStyle w:val="Heading1"/>
        <w:spacing w:after="240" w:before="480"/>
      </w:pPr>
      <w:r>
        <w:rPr>
          <w:rFonts w:ascii="Arial" w:cs="Arial" w:eastAsia="Arial" w:hAnsi="Arial"/>
          <w:b/>
          <w:bCs/>
          <w:color w:val="1F4E78"/>
          <w:sz w:val="36"/>
          <w:szCs w:val="36"/>
        </w:rPr>
        <w:t>Headline Numbers</w:t>
      </w:r>
    </w:p>
    <w:p>
      <w:pPr>
        <w:spacing w:after="240" w:line="340"/>
        <w:jc w:val="both"/>
      </w:pPr>
      <w:r>
        <w:rPr>
          <w:rFonts w:ascii="Georgia" w:cs="Georgia" w:eastAsia="Georgia" w:hAnsi="Georgia"/>
          <w:color w:val="1A1A1A"/>
          <w:sz w:val="24"/>
          <w:szCs w:val="24"/>
        </w:rPr>
        <w:t>At mature steady state (approximately Year 30 of the platform's deployment), the consolidated federal fiscal picture looks approximately as follows. New federal commitments under the platform total approximately $4.2 trillion per year. Existing federal programs absorbed by the platform total approximately $1.5 trillion per year, leaving net new federal spending of approximately $2.7 trillion per year. New federal revenue at mature steady state totals approximately $3.6 trillion per year, including $660 billion from the universal healthcare contribution, $230 billion from Childcare and Mental Health contributions combined, approximately zero net from the wage floor architecture (modest decrease for workers below their floors offset by surcharges on high earners), and approximately $2.7 trillion from Sovereign Fund disbursements at mature scale. Net impact on the federal deficit is approximately negative $900 billion per year — meaning the platform reduces the existing federal deficit by roughly that amount at mature steady state. v2.26.1 patch update: the broadband commitment shifted from Path A subsidy ($30B/year federal cost) to Path B federal ownership ($34B/year federal cost offset by $34B/year infrastructure fee revenue, net approximately zero), making the broadband pillar essentially cost-recovering from companies that benefit from the infrastructure rather than perpetually subsidized by federal taxpayers. For accounting clarity: the $4.2 trillion total represents gross new federal commitments at mature steady state. After the Federal Infrastructure Fee revenue offset for the broadband line (~$34B/year), the net federal commitment is approximately $4.17 trillion per year. The difference is small (~0.8%) but the distinction matters for fiscal narrative purposes — the platform's federal commitment is $4.17T net, with $34B funded by infrastructure fee revenue from companies that benefit from the federally-owned broadband infrastructure.</w:t>
      </w:r>
    </w:p>
    <w:p>
      <w:pPr>
        <w:spacing w:after="240" w:line="340"/>
        <w:jc w:val="both"/>
      </w:pPr>
      <w:r>
        <w:rPr>
          <w:rFonts w:ascii="Georgia" w:cs="Georgia" w:eastAsia="Georgia" w:hAnsi="Georgia"/>
          <w:color w:val="1A1A1A"/>
          <w:sz w:val="24"/>
          <w:szCs w:val="24"/>
        </w:rPr>
        <w:t>This headline number requires three substantial caveats that the rest of this document develops. First, the headline assumes the Sovereign Fund grows as projected through Year 30, which depends on the 6% real return assumption substantiated in the Sovereign Fund Governance Design document. If returns are persistently lower (Norway-equivalent 4% real), the deficit reduction is roughly halved. Second, the headline reflects mature steady state. In the transition years (Year 1 through approximately Year 13), the Sovereign Fund is still building corpus and covers only a small fraction of platform commitments. The transition-year deficit impact is substantially larger and is addressed in detail below. Third, the headline figures are framework estimates rather than precise accounting; the underlying numbers are approximations subject to the limitations addressed in the substantiation documents for each pillar.</w:t>
      </w:r>
    </w:p>
    <w:p>
      <w:pPr>
        <w:pStyle w:val="Heading1"/>
        <w:spacing w:after="240" w:before="480"/>
      </w:pPr>
      <w:r>
        <w:rPr>
          <w:rFonts w:ascii="Arial" w:cs="Arial" w:eastAsia="Arial" w:hAnsi="Arial"/>
          <w:b/>
          <w:bCs/>
          <w:color w:val="1F4E78"/>
          <w:sz w:val="36"/>
          <w:szCs w:val="36"/>
        </w:rPr>
        <w:t>New Federal Commitments at Mature Steady State</w:t>
      </w:r>
    </w:p>
    <w:p>
      <w:pPr>
        <w:spacing w:after="240" w:line="340"/>
        <w:jc w:val="both"/>
      </w:pPr>
      <w:r>
        <w:rPr>
          <w:rFonts w:ascii="Georgia" w:cs="Georgia" w:eastAsia="Georgia" w:hAnsi="Georgia"/>
          <w:color w:val="1A1A1A"/>
          <w:sz w:val="24"/>
          <w:szCs w:val="24"/>
        </w:rPr>
        <w:t>The platform's commitments at mature steady state break down across the three categories of pillars. Primary pillars: Community Contribution Plan adds approximately $100 billion in net new federal commitments (the program is largely self-funding through its dedicated contribution mechanism, but additional federal commitment is required for the transition population and certain edge cases). The Sovereign Education Fund commits approximately $250 billion in net new spending (replacing existing federal education spending of approximately $75 billion, so gross commitment is $325 billion); the v3.7.14 architecture expansion is detailed in the paragraph that follows. Empirical Wage Floors is fiscally neutral at the federal level — it changes the architecture of federal income tax but does not directly add new spending.</w:t>
      </w:r>
    </w:p>
    <w:p>
      <w:pPr>
        <w:spacing w:before="480"/>
        <w:jc w:val="center"/>
      </w:pPr>
      <w:r>
        <w:rPr>
          <w:rFonts w:ascii="Arial" w:cs="Arial" w:eastAsia="Arial" w:hAnsi="Arial"/>
          <w:i/>
          <w:iCs/>
          <w:color w:val="595959"/>
          <w:sz w:val="16"/>
          <w:szCs w:val="16"/>
        </w:rPr>
        <w:t>Pillar Three architecture expansion (v3.7.14): the $250 billion net commitment under the expanded architecture covers undergraduate education at cost-based pricing (approximately $110-140 billion); master's-level education ($15-25 billion); doctoral tuition coverage for research and professional doctorates ($10-15 billion); doctoral living stipends at Pillar Two occupation-specific wage floors ($15-20 billion); the student-support counselor workforce excluding the mental-health portion handled by Pillar Six ($13-15 billion); the federal liaison program parallel to USDA Cooperative Extension Service ($0.5-0.6 billion); and the counselor-training pipeline during transition years ($2-3 billion). The pillar architecture is no-cap (citizens may pursue any number of fields and credentials within the age-thirty funding window subject to the academic-performance constraint that they are passing the programs in which they are enrolled). Detailed substantiation in the Sovereign Education Fund Substantiation document.</w:t>
      </w:r>
    </w:p>
    <w:p>
      <w:pPr>
        <w:spacing w:after="240" w:line="340"/>
        <w:jc w:val="both"/>
      </w:pPr>
      <w:r>
        <w:rPr>
          <w:rFonts w:ascii="Georgia" w:cs="Georgia" w:eastAsia="Georgia" w:hAnsi="Georgia"/>
          <w:color w:val="1A1A1A"/>
          <w:sz w:val="24"/>
          <w:szCs w:val="24"/>
        </w:rPr>
        <w:t>Adjacent pillars: Universal Healthcare commits approximately $3.1 trillion ($9,500 per capita target times 330 million Americans). This is the platform's largest single commitment. Universal Childcare commits approximately $180 billion (Quebec model adapted to US scale). Universal Mental Health Access commits approximately $200 billion (universal voluntary access through expanded provider networks).  (Source baseline: see Sources_And_Derivation_Convention.docx.)</w:t>
      </w:r>
    </w:p>
    <w:p>
      <w:pPr>
        <w:spacing w:after="240" w:line="340"/>
        <w:jc w:val="both"/>
      </w:pPr>
      <w:r>
        <w:rPr>
          <w:rFonts w:ascii="Georgia" w:cs="Georgia" w:eastAsia="Georgia" w:hAnsi="Georgia"/>
          <w:color w:val="1A1A1A"/>
          <w:sz w:val="24"/>
          <w:szCs w:val="24"/>
        </w:rPr>
        <w:t>Civic Infrastructure pillar: The six components together commit approximately $284 billion at mature steady state. Universal Broadband (Path B per v2.26): $34 billion per year gross federal cost (capital recovery + operations + maintenance + future capacity reserve), offset by approximately $34 billion per year in infrastructure fee revenue from companies (per item 78), for net federal cost of approximately zero. Was Path A subsidy at $30 billion per year prior to v2.26 architectural shift. Transportation Infrastructure: $100 billion per year (mid-range of the $80-120 billion estimate). Water and Sewer Systems: $50 billion per year (mid-range of the $40-60 billion estimate). Public Spaces: $27 billion per year (mid-range of $22-32 billion). Civic Technology: $12 billion per year (mid-range of $10-15 billion). Energy Grid Modernization: $65 billion per year (mid-range of $50-80 billion).</w:t>
      </w:r>
    </w:p>
    <w:p>
      <w:pPr>
        <w:spacing w:after="240" w:line="340"/>
        <w:jc w:val="both"/>
      </w:pPr>
      <w:r>
        <w:rPr>
          <w:rFonts w:ascii="Georgia" w:cs="Georgia" w:eastAsia="Georgia" w:hAnsi="Georgia"/>
          <w:color w:val="1A1A1A"/>
          <w:sz w:val="24"/>
          <w:szCs w:val="24"/>
        </w:rPr>
        <w:t>Other commitments: The Refundable Transition Bridge Credit (added in v2.1 to handle households whose net position would otherwise worsen during transition) is a transition-finance mechanism whose cost follows an inverted-U over the roughly thirty-year transition (peak approximately fifty billion dollars representative, peaking near one hundred fifteen billion dollars around Year 20, and near zero at mature steady state); it is financed through the transition layer rather than the steady-state progressive target (see COST-6). Total platform commitments aggregate to approximately $4.2 trillion per year at mature steady state. (Source baseline: see Sources_And_Derivation_Convention.docx.)</w:t>
      </w:r>
    </w:p>
    <w:p>
      <w:pPr>
        <w:spacing w:before="480"/>
        <w:jc w:val="center"/>
      </w:pPr>
      <w:r>
        <w:rPr>
          <w:rFonts w:ascii="Arial" w:cs="Arial" w:eastAsia="Arial" w:hAnsi="Arial"/>
          <w:i/>
          <w:iCs/>
          <w:color w:val="595959"/>
          <w:sz w:val="16"/>
          <w:szCs w:val="16"/>
        </w:rPr>
        <w:t>Pillar Nine (Universal Long-Term Care): added in v3.3.0. Funded by 1.0 percent combined payroll contribution (0.6 percent employer; 0.4 percent employee) generating approximately $250 billion per year in steady-state revenue. Benefit cost projection at full implementation approximately $525 to $700 billion per year, depending on covered-population, per-individual-cost, and home-versus-institutional-care-mix assumptions. Gap between contribution revenue and benefit cost is closed by three offsetting mechanisms: federal Medicaid LTC expenditure substitution (approximately $200 billion currently); state-level LTC expenditure transition (approximately $120 billion currently); and high-earner-architecture backstop for residual gap. Net new federal commitment at full implementation approximately $200 to $400 billion per year (gross benefit cost minus existing-program-substitution savings minus the portion absorbed by contribution revenue). Detailed financing math is in 08_Universal_Long_Term_Care_Substantiation.docx. (Source baseline: see Sources_And_Derivation_Convention.docx.)</w:t>
      </w:r>
    </w:p>
    <w:p>
      <w:pPr>
        <w:spacing w:before="480"/>
        <w:jc w:val="center"/>
      </w:pPr>
      <w:r>
        <w:rPr>
          <w:rFonts w:ascii="Arial" w:cs="Arial" w:eastAsia="Arial" w:hAnsi="Arial"/>
          <w:i/>
          <w:iCs/>
          <w:color w:val="595959"/>
          <w:sz w:val="16"/>
          <w:szCs w:val="16"/>
        </w:rPr>
        <w:t>Pillar Ten (Federal Housing Investment): added in v3.4.0. Funded by federal general revenue drawn from the platform's high-earner architecture plus existing federal housing program substitution. Aggregate commitment approximately $145 billion per year at full implementation, comprising approximately $70 billion absorbed from existing federal housing programs (Section 8 vouchers approximately $32B; project-based rental assistance approximately $15B; public housing operating and capital approximately $10B; LIHTC tax expenditure approximately $10B) plus approximately $75 billion in net new federal commitment. Net new federal commitment funded by allocation of high-earner architecture revenue, which generates approximately $700B to $1T per year at maturity per the Combined Reform Model. Components: universal rental assistance ($70-100B); federal-state conditional grants for housing supply expansion ($10-25B); public housing capital investment ($10B); supportive housing ($5-10B); Housing First homelessness response ($3-5B). Detailed financing is in 08_Federal_Housing_Investment_Substantiation.docx. (Source baseline: see Sources_And_Derivation_Convention.docx.)</w:t>
      </w:r>
    </w:p>
    <w:p>
      <w:pPr>
        <w:spacing w:before="480"/>
        <w:jc w:val="center"/>
      </w:pPr>
      <w:r>
        <w:rPr>
          <w:rFonts w:ascii="Arial" w:cs="Arial" w:eastAsia="Arial" w:hAnsi="Arial"/>
          <w:i/>
          <w:iCs/>
          <w:color w:val="595959"/>
          <w:sz w:val="16"/>
          <w:szCs w:val="16"/>
        </w:rPr>
        <w:t>Pillar Eleven (Climate Architecture): added in v3.5.0. Funded by an upstream carbon price on fossil fuels at the point of extraction or import. Starting price $50/ton CO2-equivalent rising to $100/ton over approximately a 10-year transition. Coverage approximately 75-80% of U.S. CO2-equivalent emissions. Border adjustment applies the price to imported goods based on embedded carbon content. Gross revenue approximately $300-400B/yr at the mature $100/ton price (~3-4B tons covered); $150-200B/yr at the starting $50/ton price. Revenue declines over time as the price's incentive effect produces decarbonization. Revenue is split 50/50: ~$150-200B/yr at maturity flows to a per-capita carbon dividend (each adult equal share; each child half-share capped at two per household; ~$600-700/adult/year; ~$2,000/family of four/year at maturity); ~$150-200B/yr at maturity flows to clean-energy infrastructure investment (~25% of total revenue), transmission grid modernization (~10%), just-transition support (~10%), and clean-energy innovation (~5%). Net fiscal impact: zero on federal bottom line because all revenue is either dividended or invested. Pillar Eleven is fiscally independent of the platform's other commitments. Detailed substantiation is in 08_Climate_Architecture_Substantiation.docx. (Source baseline: see Sources_And_Derivation_Convention.docx.)</w:t>
      </w:r>
    </w:p>
    <w:p>
      <w:pPr>
        <w:spacing w:before="480"/>
        <w:jc w:val="center"/>
      </w:pPr>
      <w:r>
        <w:rPr>
          <w:rFonts w:ascii="Arial" w:cs="Arial" w:eastAsia="Arial" w:hAnsi="Arial"/>
          <w:i/>
          <w:iCs/>
          <w:color w:val="595959"/>
          <w:sz w:val="16"/>
          <w:szCs w:val="16"/>
        </w:rPr>
        <w:t>Pillar Twelve (Immigration Architecture): added in v3.6.0. Funded by federal general revenue supplemented by user fees. Aggregate gross federal commitment ~$30-50B/yr at full implementation. Six components: pathway to legal status (~$2-3B admin); legal immigration modernization (~$5-7B USCIS capacity, partly user-fee funded); asylum and refugee processing (~$5-8B); workforce visa reform (~$3-5B); integration support (~$3-5B); border management modernization (~$8-12B, largely rationalizing existing CBP/ICE budgets). Net fiscal impact: positive on 10-to-20-year horizon. The National Academies 2017 consensus report concluded immigrants and their descendants are a substantial net fiscal positive over the long horizon. CBO scoring of S.744 (2013) projected ~$1 trillion in deficit reduction over 20 years; comparable subsequent proposals (U.S. Citizenship Act of 2021) produced similar magnitudes. Pillar Twelve's gross expenditure is more than offset by tax revenue increases over the medium-to-long horizon, producing positive net fiscal impact. Detailed substantiation in 08_Immigration_Architecture_Substantiation.docx. (Source baseline: see Sources_And_Derivation_Convention.docx.)</w:t>
      </w:r>
    </w:p>
    <w:p>
      <w:pPr>
        <w:pStyle w:val="Heading1"/>
        <w:spacing w:after="240" w:before="480"/>
      </w:pPr>
      <w:r>
        <w:rPr>
          <w:rFonts w:ascii="Arial" w:cs="Arial" w:eastAsia="Arial" w:hAnsi="Arial"/>
          <w:b/>
          <w:bCs/>
          <w:color w:val="1F4E78"/>
          <w:sz w:val="36"/>
          <w:szCs w:val="36"/>
        </w:rPr>
        <w:t>Existing Federal Programs Absorbed</w:t>
      </w:r>
    </w:p>
    <w:p>
      <w:pPr>
        <w:spacing w:after="240" w:line="340"/>
        <w:jc w:val="both"/>
      </w:pPr>
      <w:r>
        <w:rPr>
          <w:rFonts w:ascii="Georgia" w:cs="Georgia" w:eastAsia="Georgia" w:hAnsi="Georgia"/>
          <w:color w:val="1A1A1A"/>
          <w:sz w:val="24"/>
          <w:szCs w:val="24"/>
        </w:rPr>
        <w:t>The platform absorbs or restructures several existing federal programs whose function is replaced by platform commitments. The Federal Program Integration Plan document details the architectural relationships; this section enumerates the fiscal magnitudes.</w:t>
      </w:r>
    </w:p>
    <w:p>
      <w:pPr>
        <w:spacing w:after="240" w:line="340"/>
        <w:jc w:val="both"/>
      </w:pPr>
      <w:r>
        <w:rPr>
          <w:rFonts w:ascii="Georgia" w:cs="Georgia" w:eastAsia="Georgia" w:hAnsi="Georgia"/>
          <w:color w:val="1A1A1A"/>
          <w:sz w:val="24"/>
          <w:szCs w:val="24"/>
        </w:rPr>
        <w:t>Medicare's approximately $1.0 trillion in current federal program spending (CMS National Health Expenditure data, 2023) is restructured into universal healthcare's funding architecture (Medicare continues to operate for Americans 65+ but its funding flows through the universal healthcare contribution rather than dedicated payroll tax and beneficiary premiums). Federal Medicaid spending of approximately $600 billion is partially absorbed: approximately $300 billion of this represents Medicaid's coverage of working-age adults and children that universal healthcare directly replaces. The remaining $300 billion of federal Medicaid spending continues for long-term care, HCBS waivers, and disability-specific services that universal healthcare does not cover. ACA marketplace subsidies of approximately $90 billion are absorbed entirely (universal healthcare replaces the function of subsidized exchange coverage). Existing federal education programs of approximately $75 billion are absorbed by the Sovereign Education Fund. Miscellaneous existing federal programs (broadband subsidies under Universal Service Fund (USF)/BEAD, identity infrastructure programs, federal portions of childcare assistance, etc.) totaling approximately $30 billion are absorbed by the relevant platform commitments.</w:t>
      </w:r>
    </w:p>
    <w:p>
      <w:pPr>
        <w:spacing w:after="240" w:line="340"/>
        <w:jc w:val="both"/>
      </w:pPr>
      <w:r>
        <w:rPr>
          <w:rFonts w:ascii="Georgia" w:cs="Georgia" w:eastAsia="Georgia" w:hAnsi="Georgia"/>
          <w:color w:val="1A1A1A"/>
          <w:sz w:val="24"/>
          <w:szCs w:val="24"/>
        </w:rPr>
        <w:t>Total existing programs absorbed: approximately $1.5 trillion per year. This is critical to understand: the platform's $4.2 trillion in commitments is substantially offset by absorbing $1.5 trillion in current federal spending that the platform replaces. The net new federal spending is approximately $2.7 trillion per year, not $4.2 trillion.</w:t>
      </w:r>
    </w:p>
    <w:p>
      <w:pPr>
        <w:pStyle w:val="Heading1"/>
        <w:spacing w:after="240" w:before="480"/>
      </w:pPr>
      <w:r>
        <w:rPr>
          <w:rFonts w:ascii="Arial" w:cs="Arial" w:eastAsia="Arial" w:hAnsi="Arial"/>
          <w:b/>
          <w:bCs/>
          <w:color w:val="1F4E78"/>
          <w:sz w:val="36"/>
          <w:szCs w:val="36"/>
        </w:rPr>
        <w:t>New Federal Revenue at Mature Steady State</w:t>
      </w:r>
    </w:p>
    <w:p>
      <w:pPr>
        <w:spacing w:after="240" w:line="340"/>
        <w:jc w:val="both"/>
      </w:pPr>
      <w:r>
        <w:rPr>
          <w:rFonts w:ascii="Georgia" w:cs="Georgia" w:eastAsia="Georgia" w:hAnsi="Georgia"/>
          <w:color w:val="1A1A1A"/>
          <w:sz w:val="24"/>
          <w:szCs w:val="24"/>
        </w:rPr>
        <w:t>Platform revenue at mature steady state comes from six main sources (the Federal Infrastructure Fee was added in v2.26). The universal healthcare contribution at 4% employer plus 2% employee (6% total payroll) on approximately $11 trillion in covered W-2 wages plus self-employment income generates approximately $660 billion per year. The universal childcare contribution at 0.8% employer plus 0.5% employee (1.3% total) generates approximately $143 billion. The Universal Mental Health Access contribution at 0.5% employer plus 0.3% employee (0.8% total) generates approximately $88 billion. The wage floor architecture's net revenue impact is approximately zero — workers earning below their occupation's floor pay no federal income tax (a reduction relative to current law of approximately $200 billion per year), but high-income surcharges and the elimination of various current-law deductions roughly offset (an increase of approximately $200 billion per year). Wealth tax architecture has three components: graduated additional income brackets above $250K (5%/10%/15% at $250K/$500K/$1M for single filers, doubled for MFJ); a small wealth surcharge above the $10M net worth threshold at 0.5% annually; and a wealth tax above the $50M net worth threshold at 0.6% annually that funds Sovereign Investment Fund corpus accumulation. Combined revenue: approximately $200 billion per year (refined to approximately $225 billion per year per item 81 substantiation; see v2.30 update note immediately below). The 0.5% small-wealth-surcharge rate was calibrated in the canonical OPEN-2 resolution (v2.26.3, Open Issues Registry (OIR) Section 10) as a defensible interpretation of 'small.' The wealth tax rate above $50M was originally set at 2.5% — the midpoint of a documented 2-3% range — when the base above that threshold was a synthetic placeholder. The v3.7.577 real-data calibration (2026 CPS ASEC and SCF) measured that base near $11 trillion, far larger than the placeholder implied, so the rate that raises the targeted residual funding need of approximately $65 billion is 0.6% annually rather than 2.5%. The larger measured base — still a conservative floor, because public survey data undercounts the very top of the wealth distribution — is documented headroom, not a reason to set the rate above the funding need.</w:t>
      </w:r>
    </w:p>
    <w:p>
      <w:pPr>
        <w:spacing w:before="480"/>
        <w:jc w:val="center"/>
      </w:pPr>
      <w:r>
        <w:rPr>
          <w:rFonts w:ascii="Arial" w:cs="Arial" w:eastAsia="Arial" w:hAnsi="Arial"/>
          <w:i/>
          <w:iCs/>
          <w:color w:val="595959"/>
          <w:sz w:val="16"/>
          <w:szCs w:val="16"/>
        </w:rPr>
        <w:t>v2.30 update: explicit three-component breakdown of the modified income tax architecture and wealth tax architecture, per Federal Income Tax Revenue Under the Platform's Modified Architecture substantiation. (1) Modified income tax architecture (wage floor exemption replacing standard deduction plus canonical OPEN-2 graduated surcharge): approximately $130 billion per year mature steady-state at median behavioral elasticity (Elasticity of Taxable Income (ETI) 0.4); range $110 to $140 billion across the literature elasticity range (ETI 0.2 to 0.8). (2) Small wealth surcharge above $10 million net worth at 0.5 percent (threshold pegged to roughly the top one percent of households by net worth per the Federal Reserve Survey of Consumer Finances and re-anchored as that distribution shifts; the 0.5 percent rate benchmarked to the conservative end of existing national wealth taxes — see Wage Floors as Tax Architecture): approximately $35 billion per year, on approximately 75,000 households with net worth above the $10M threshold. (3) Wealth tax above $50 million net worth at 0.6 percent: approximately $60 billion per year, on approximately 30,000 households with net worth above the $50M threshold; this revenue funds Sovereign Investment Fund corpus accumulation rather than annual platform commitments. Combined: approximately $225 billion per year, modestly above the original $200 billion estimate but within the reasonable uncertainty range for order-of-magnitude estimates. Item 81 provides filer-count derivations, behavioral elasticity sensitivity analysis, distributional impact analysis, and the recommended FFIA reconciliation that this paragraph implements. Definitive estimates require external microsimulation modeling (Joint Committee on Taxation (JCT)/Tax Policy Center (TPC)/Penn Wharton tools); the order-of-magnitude estimates here are appropriate for platform-level planning. OPEN-3 (per OIR Section 2 and v2.29 item 81 plus v2.30 enhancements) is substantively addressed at the FFIA accounting level by this update.</w:t>
      </w:r>
    </w:p>
    <w:p>
      <w:pPr>
        <w:spacing w:after="240" w:line="340"/>
        <w:jc w:val="both"/>
      </w:pPr>
      <w:r>
        <w:rPr>
          <w:rFonts w:ascii="Georgia" w:cs="Georgia" w:eastAsia="Georgia" w:hAnsi="Georgia"/>
          <w:color w:val="1A1A1A"/>
          <w:sz w:val="24"/>
          <w:szCs w:val="24"/>
        </w:rPr>
        <w:t>Sovereign Fund disbursements at mature scale are the largest single revenue source. The Sovereign Fund Governance Design document projects fund maturity at approximately $122 trillion by Year 60. By Year 30 the fund's corpus has accumulated to approximately $35 trillion. At a 6% real return rate, mature disbursement coverage of platform commitments is approximately 65%, equivalent to approximately $2.7 trillion per year (65% of the $4.2 trillion in total commitments). Including the Federal Infrastructure Fee added in v2.26 (approximately $34 billion per year), total platform revenue at mature steady state thus aggregates to approximately $3.6 trillion per year. (the Sovereign Fund corpus projection over a 60-year horizon assumes a 6 percent real return base case; the methodology is documented in the Combined Reform Model and the Mathematical Models documentation, and a 4 percent conservative scenario producing approximately $62.5 trillion is documented in the Open Issues Registry as research item RESEARCH-5)</w:t>
      </w:r>
    </w:p>
    <w:p>
      <w:pPr>
        <w:pStyle w:val="Heading1"/>
      </w:pPr>
      <w:r>
        <w:t>Funding Derivation for the Progressive Mechanisms</w:t>
      </w:r>
    </w:p>
    <w:p>
      <w:pPr/>
      <w:r>
        <w:t>The three high-earner mechanisms above — the graduated income surcharge, the wealth surcharge above ten million dollars, and the wealth tax above fifty million dollars — are designed to raise approximately two hundred twenty-five billion dollars gross, realizing approximately one hundred ninety-eight billion dollars after the behavioral response modeled in the Combined Reform Model and the Fiscal Control Panel. A natural question is how much these mechanisms actually need to raise: which platform commitments are funded from this progressive, general-revenue side rather than from a dedicated stream or from Sovereign Fund disbursements. This section derives that figure backward from the commitments themselves.</w:t>
      </w:r>
    </w:p>
    <w:p>
      <w:pPr/>
      <w:r>
        <w:t>Most pillars do not draw on the progressive mechanisms at all. Universal Healthcare, Universal Childcare, Universal Mental Health Access, Universal Paid Family Time, and Universal Long-Term Care are each funded by a dedicated payroll contribution (six percent, one-point-three percent, zero-point-eight percent, zero-point-four percent, and one-point-zero percent of covered wages respectively). Climate Architecture is funded by its own upstream carbon price. Where a pillar's benefit cost exceeds its dedicated contribution — most consequentially Long-Term Care, whose benefit projection of five hundred twenty-five to seven hundred billion dollars exceeds its roughly two hundred fifty billion dollars in payroll revenue — the gap is carried by Sovereign Fund disbursements, the platform's largest single revenue source at maturity, not by the progressive mechanisms.</w:t>
      </w:r>
    </w:p>
    <w:p>
      <w:pPr/>
      <w:r>
        <w:t>The commitments that fall on the progressive, general-revenue side at mature steady state are two. Federal Housing Investment is funded, in the platform's own language, from general revenue drawn from the high-earner architecture, contributing approximately seventy-five billion dollars in net-new federal cost after existing federal housing program substitution (COST-3). Immigration Architecture is funded by general revenue supplemented by user fees, approximately forty billion dollars net, within a documented thirty-to-fifty-billion-dollar range (COST-5). The sum is approximately one hundred fifteen billion dollars — the derived funding-adequacy target for the progressive mechanisms at mature steady state. The Refundable Transition Bridge Credit is deliberately not part of this steady-state target: it is a transition-finance mechanism, not an ongoing obligation. Its cost follows an inverted-U over the roughly thirty-year transition (peak near one hundred fifteen billion dollars around Year 20, approximately two-point-two-nine trillion dollars cumulative, and near zero once the transition completes), and it is carried in the transition-financing layer rather than the steady-state target.</w:t>
      </w:r>
    </w:p>
    <w:p>
      <w:pPr/>
      <w:r>
        <w:t>Two allocation corrections were applied in deriving this figure, both confirmed against the platform's pillar and substantiation documents. First, the Long-Term Care benefit-cost gap is funded by Sovereign Fund disbursements rather than the progressive mechanisms, consistent with the platform's stated architecture in which the Sovereign Fund covers approximately sixty-five percent of commitments at maturity. Second, Universal Paid Family Time is funded by its own dedicated zero-point-four percent payroll contribution, not by general revenue; the Federal Housing substantiation document states this explicitly, naming Housing as the lone general-revenue exception precisely because the other adjacent pillars carry dedicated contributions.</w:t>
      </w:r>
    </w:p>
    <w:p>
      <w:pPr/>
      <w:r>
        <w:t>Four interim benchmark cost models were constructed to support the pillars whose cost figures previously rested on aggregate benchmarks rather than formula-driven derivation, each sourced to current analog-program data and carried with an explicit uncertainty band: Universal Paid Family Time at approximately forty-three billion dollars gross, plus or minus twenty-five percent, anchored to the FAMILY Act modeling and state paid-leave program experience; Universal Long-Term Care at approximately six hundred thirty-one billion dollars gross and three hundred seventy-four billion dollars net-new after Medicaid long-term-services absorption, plus or minus twenty-six percent; Federal Housing Investment at approximately one hundred forty-five billion dollars gross and seventy-five billion dollars net-new after Housing and Urban Development program substitution, plus or minus twenty-two percent; and Climate Architecture carbon revenue at approximately two hundred fifty-seven billion dollars at a seventy-five-dollar mid-path carbon price. Current-versus-proposed comparison is sharpest where the platform absorbs an identifiable federal program: roughly seventy billion dollars of existing Housing and Urban Development spending and roughly two hundred fifty-seven billion dollars of existing Medicaid long-term-services spending are absorbed rather than added.</w:t>
      </w:r>
    </w:p>
    <w:p>
      <w:pPr/>
      <w:r>
        <w:t>Against the derived one hundred fifteen billion dollar steady-state adequacy target, the progressive mechanisms at the canonical zero-point-six percent wealth-tax rate realize approximately one hundred ninety-four to one hundred ninety-eight billion dollars, leaving a steady-state surplus of approximately seventy-nine billion dollars at the median. That surplus is not unallocated: it is banked in the Sovereign Fund as a transition reserve toward the Refundable Transition Bridge Credit, reducing the net transition borrowing the platform would otherwise carry. The Fiscal Control Panel's funding-adequacy circuit breaker evaluates realized revenue against this one-hundred-fifteen-billion-dollar steady-state need and reads clear at the canonical rate. An earlier derivation folded a fifty-billion-dollar Bridge Credit line into the target, producing one hundred sixty-five billion dollars; because the Bridge Credit is a transition mechanism that has phased out at mature steady state, separating it gives the more accurate one-hundred-fifteen-billion-dollar steady-state figure and reframes the surplus as the transition reserve. These cost models and the backward funding derivation are interim benchmarks — sourced and reproducible, but pending the credentialed external validation tracked as the COST-series items in the Open Issues Registry.</w:t>
      </w:r>
    </w:p>
    <w:p>
      <w:r>
        <w:t>The Bridge Credit's transition cost is met from two sources: the steady-state surplus reserve described above, and transition borrowing. The Combined Reform Model's year-by-year cash flow shows this is absorbed — with the Bridge Credit included, the cumulative federal position dips to approximately negative one-point-eight-eight trillion dollars at its 2046 peak and then recovers to positive by Year 30, while the Sovereign Fund accumulates to approximately one hundred twenty-two trillion dollars over the horizon. The Bridge Credit is therefore fully financed; it is financed through the transition layer rather than the steady-state progressive target, and is documented year by year in the Refundable Transition Bridge Credit cost model (COST-6).</w:t>
      </w:r>
    </w:p>
    <w:p>
      <w:pPr/>
      <w:r>
        <w:t>A robustness simulation tests whether this conclusion survives the uncertainty in its inputs rather than holding only at the central estimate, and it now runs in two layers. In the steady-state layer, drawing the behavioral-response parameters and the two implementation-cost figures across their documented ranges over one hundred thousand iterations, the progressive mechanisms cover the one-hundred-fifteen-billion-dollar steady-state obligation in one hundred percent of scenarios, with a surplus reserve whose fifth percentile is still approximately sixty-two billion dollars. Both obligation bands are now sourced rather than assumed: Housing carries the COST-3 plus-or-minus twenty-two percent band, and Immigration carries the documented thirty-to-fifty-billion-dollar range from COST-5. In the transition layer, that surplus reserve covers the Bridge Credit's thirty-year average cost of roughly seventy-six billion dollars in about sixty percent of scenarios; the peak-year cost of roughly one hundred fifteen billion dollars is met by transition borrowing, which the Combined Reform Model shows the system absorbs. The simulation is reproducible and parameterized, and is documented alongside the derivation in the Backward Funding Model, pending the same credentialed external validation.</w:t>
      </w:r>
    </w:p>
    <w:p>
      <w:pPr>
        <w:pStyle w:val="Heading1"/>
        <w:spacing w:after="240" w:before="480"/>
      </w:pPr>
      <w:r>
        <w:rPr>
          <w:rFonts w:ascii="Arial" w:cs="Arial" w:eastAsia="Arial" w:hAnsi="Arial"/>
          <w:b/>
          <w:bCs/>
          <w:color w:val="1F4E78"/>
          <w:sz w:val="36"/>
          <w:szCs w:val="36"/>
        </w:rPr>
        <w:t>Net Impact on the Federal Deficit</w:t>
      </w:r>
    </w:p>
    <w:p>
      <w:pPr>
        <w:spacing w:after="240" w:line="340"/>
        <w:jc w:val="both"/>
      </w:pPr>
      <w:r>
        <w:rPr>
          <w:rFonts w:ascii="Georgia" w:cs="Georgia" w:eastAsia="Georgia" w:hAnsi="Georgia"/>
          <w:color w:val="1A1A1A"/>
          <w:sz w:val="24"/>
          <w:szCs w:val="24"/>
        </w:rPr>
        <w:t>Combining the above: net new federal spending is $4.2 trillion (commitments) minus $1.5 trillion (absorbed programs) equals $2.7 trillion. New federal revenue is $3.6 trillion. The net change in federal deficit is approximately $3.6 trillion in revenue minus $2.7 trillion in net new spending equals approximately negative $900 billion — meaning the platform reduces the existing federal deficit by approximately $900 billion per year at mature steady state. Adding this to the current federal deficit (approximately $2.0 trillion in FY2024), the platform's mature steady-state federal deficit would be approximately $1.1 trillion per year, compared to $2.0 trillion currently.</w:t>
      </w:r>
    </w:p>
    <w:p>
      <w:pPr>
        <w:spacing w:after="240" w:line="340"/>
        <w:jc w:val="both"/>
      </w:pPr>
      <w:r>
        <w:rPr>
          <w:rFonts w:ascii="Georgia" w:cs="Georgia" w:eastAsia="Georgia" w:hAnsi="Georgia"/>
          <w:color w:val="1A1A1A"/>
          <w:sz w:val="24"/>
          <w:szCs w:val="24"/>
        </w:rPr>
        <w:t>This is the platform's mature steady-state fiscal impact: approximately $900 billion per year in deficit reduction, achieved by combining absorbed program savings, new contribution revenue, and Sovereign Fund disbursements. Importantly, this is a fiscal improvement relative to the current trajectory — the platform delivers its commitments while reducing rather than increasing the federal deficit, contrary to the assumption many readers might make about a platform with $4.2 trillion in commitments.</w:t>
      </w:r>
    </w:p>
    <w:p>
      <w:pPr>
        <w:pStyle w:val="Heading1"/>
        <w:spacing w:after="240" w:before="480"/>
      </w:pPr>
      <w:r>
        <w:rPr>
          <w:rFonts w:ascii="Arial" w:cs="Arial" w:eastAsia="Arial" w:hAnsi="Arial"/>
          <w:b/>
          <w:bCs/>
          <w:color w:val="1F4E78"/>
          <w:sz w:val="36"/>
          <w:szCs w:val="36"/>
        </w:rPr>
        <w:t>The Transition Years Look Different</w:t>
      </w:r>
    </w:p>
    <w:p>
      <w:pPr>
        <w:spacing w:after="240" w:line="340"/>
        <w:jc w:val="both"/>
      </w:pPr>
      <w:r>
        <w:rPr>
          <w:rFonts w:ascii="Georgia" w:cs="Georgia" w:eastAsia="Georgia" w:hAnsi="Georgia"/>
          <w:color w:val="1A1A1A"/>
          <w:sz w:val="24"/>
          <w:szCs w:val="24"/>
        </w:rPr>
        <w:t>The mature steady-state picture above hides the substantial fiscal challenge of the transition years. In Year 1 of the platform, the Sovereign Fund corpus is small (the fund is still in early accumulation), and Sovereign Fund disbursements cover only approximately 5% of platform commitments rather than 65%. This means transition-year revenue is dramatically lower than mature steady-state revenue. The transition-year deficit impact is substantially worse than the mature-state picture.</w:t>
      </w:r>
    </w:p>
    <w:p>
      <w:pPr>
        <w:pStyle w:val="Heading2"/>
        <w:spacing w:after="160" w:before="360"/>
      </w:pPr>
      <w:r>
        <w:rPr>
          <w:rFonts w:ascii="Arial" w:cs="Arial" w:eastAsia="Arial" w:hAnsi="Arial"/>
          <w:b/>
          <w:bCs/>
          <w:color w:val="1F4E78"/>
          <w:sz w:val="28"/>
          <w:szCs w:val="28"/>
        </w:rPr>
        <w:t>Year 1-5 Transition Picture</w:t>
      </w:r>
    </w:p>
    <w:p>
      <w:pPr>
        <w:spacing w:after="240" w:line="340"/>
        <w:jc w:val="both"/>
      </w:pPr>
      <w:r>
        <w:rPr>
          <w:rFonts w:ascii="Georgia" w:cs="Georgia" w:eastAsia="Georgia" w:hAnsi="Georgia"/>
          <w:color w:val="1A1A1A"/>
          <w:sz w:val="24"/>
          <w:szCs w:val="24"/>
        </w:rPr>
        <w:t>In the platform's early years, the federal deficit is substantially worse than current. Platform commitments scale up as the various pillars come online, but Sovereign Fund disbursements cover only 5-15% of those commitments. Most of the funding burden falls on the new contribution revenues and on general revenue (effectively, deficit financing). A reasonable estimate of the Year 1 incremental deficit impact is approximately $1.5 trillion (added to the current $2.0 trillion baseline, producing a Year 1 federal deficit of approximately $3.5 trillion). This is the political and economic challenge of the transition: the platform's mature benefits are real, but the transition years require substantial federal borrowing to bridge from the current state to the mature steady state.</w:t>
      </w:r>
    </w:p>
    <w:p>
      <w:pPr>
        <w:spacing w:after="240" w:line="340"/>
        <w:jc w:val="both"/>
      </w:pPr>
      <w:r>
        <w:rPr>
          <w:rFonts w:ascii="Georgia" w:cs="Georgia" w:eastAsia="Georgia" w:hAnsi="Georgia"/>
          <w:color w:val="1A1A1A"/>
          <w:sz w:val="24"/>
          <w:szCs w:val="24"/>
        </w:rPr>
        <w:t>This pattern is not unique to the platform. Major federal program launches (Social Security in 1935, Medicare in 1965, ACA in 2010, the Inflation Reduction Act in 2022) all front-loaded their fiscal impact while building toward longer-term sustainability. The platform's transition is more substantial than any of those because the platform encompasses more pillars, but the structural pattern (front-loaded transition cost, longer-term fiscal improvement) is well-established.</w:t>
      </w:r>
    </w:p>
    <w:p>
      <w:pPr>
        <w:pStyle w:val="Heading2"/>
        <w:spacing w:after="160" w:before="360"/>
      </w:pPr>
      <w:r>
        <w:rPr>
          <w:rFonts w:ascii="Arial" w:cs="Arial" w:eastAsia="Arial" w:hAnsi="Arial"/>
          <w:b/>
          <w:bCs/>
          <w:color w:val="1F4E78"/>
          <w:sz w:val="28"/>
          <w:szCs w:val="28"/>
        </w:rPr>
        <w:t>Year 6-15 Transition Picture</w:t>
      </w:r>
    </w:p>
    <w:p>
      <w:pPr>
        <w:spacing w:after="240" w:line="340"/>
        <w:jc w:val="both"/>
      </w:pPr>
      <w:r>
        <w:rPr>
          <w:rFonts w:ascii="Georgia" w:cs="Georgia" w:eastAsia="Georgia" w:hAnsi="Georgia"/>
          <w:color w:val="1A1A1A"/>
          <w:sz w:val="24"/>
          <w:szCs w:val="24"/>
        </w:rPr>
        <w:t>By Year 6-10, Sovereign Fund disbursements have grown to cover approximately 25-35% of platform commitments, and the deficit impact moderates. The Year 10 incremental deficit impact relative to current state is approximately $700 billion, declining toward zero by Year 15-20 as Sovereign Fund disbursements continue to scale. The platform reaches the mature steady state of $900 billion in deficit reduction by approximately Year 25-30.  (Source baseline: see Sources_And_Derivation_Convention.docx.)</w:t>
      </w:r>
    </w:p>
    <w:p>
      <w:pPr>
        <w:pStyle w:val="Heading2"/>
        <w:spacing w:after="160" w:before="360"/>
      </w:pPr>
      <w:r>
        <w:rPr>
          <w:rFonts w:ascii="Arial" w:cs="Arial" w:eastAsia="Arial" w:hAnsi="Arial"/>
          <w:b/>
          <w:bCs/>
          <w:color w:val="1F4E78"/>
          <w:sz w:val="28"/>
          <w:szCs w:val="28"/>
        </w:rPr>
        <w:t>Cumulative Transition Cost</w:t>
      </w:r>
    </w:p>
    <w:p>
      <w:pPr>
        <w:spacing w:after="240" w:line="340"/>
        <w:jc w:val="both"/>
      </w:pPr>
      <w:r>
        <w:rPr>
          <w:rFonts w:ascii="Georgia" w:cs="Georgia" w:eastAsia="Georgia" w:hAnsi="Georgia"/>
          <w:color w:val="1A1A1A"/>
          <w:sz w:val="24"/>
          <w:szCs w:val="24"/>
        </w:rPr>
        <w:t>Summing the transition years' incremental deficit impacts produces a cumulative additional federal borrowing of approximately $8-12 trillion over the first 25 years of the platform. This is real money. It is also smaller than several historical fiscal commitments — the federal government has committed similar magnitudes to financial crisis responses (approximately $4 trillion across the 2008 crisis programs and the COVID-19 response combined) and to defense over comparable periods (approximately $20 trillion across the Cold War era, normalized to current dollars). The platform's transition cost is large but not unprecedented.</w:t>
      </w:r>
    </w:p>
    <w:p>
      <w:pPr>
        <w:pStyle w:val="Heading1"/>
        <w:spacing w:after="240" w:before="480"/>
      </w:pPr>
      <w:r>
        <w:rPr>
          <w:rFonts w:ascii="Arial" w:cs="Arial" w:eastAsia="Arial" w:hAnsi="Arial"/>
          <w:b/>
          <w:bCs/>
          <w:color w:val="1F4E78"/>
          <w:sz w:val="36"/>
          <w:szCs w:val="36"/>
        </w:rPr>
        <w:t>Sensitivity to Sovereign Fund Returns</w:t>
      </w:r>
    </w:p>
    <w:p>
      <w:pPr>
        <w:spacing w:after="240" w:line="340"/>
        <w:jc w:val="both"/>
      </w:pPr>
      <w:r>
        <w:rPr>
          <w:rFonts w:ascii="Georgia" w:cs="Georgia" w:eastAsia="Georgia" w:hAnsi="Georgia"/>
          <w:color w:val="1A1A1A"/>
          <w:sz w:val="24"/>
          <w:szCs w:val="24"/>
        </w:rPr>
        <w:t>The mature steady-state fiscal picture depends critically on the Sovereign Fund's investment returns. The platform's projections assume 6% real returns. The Sovereign Fund Governance Design document substantiates this assumption, noting it is at the optimistic end of large institutional fund performance (Norway's fund achieves approximately 4% real over its 28-year history; US public pension funds typically achieve 3-5% real).</w:t>
      </w:r>
    </w:p>
    <w:p>
      <w:pPr>
        <w:spacing w:after="240" w:line="340"/>
        <w:jc w:val="both"/>
      </w:pPr>
      <w:r>
        <w:rPr>
          <w:rFonts w:ascii="Georgia" w:cs="Georgia" w:eastAsia="Georgia" w:hAnsi="Georgia"/>
          <w:color w:val="1A1A1A"/>
          <w:sz w:val="24"/>
          <w:szCs w:val="24"/>
        </w:rPr>
        <w:t>Sensitivity analysis: at 4% real returns (Norway-equivalent), the Sovereign Fund corpus at Year 30 is approximately 80% of the projected size. Disbursements at mature steady state are correspondingly approximately 80% of the projection, equivalent to approximately $2.2 trillion rather than $2.7 trillion. The mature steady-state federal deficit reduction shrinks from $900 billion to approximately $400 billion. This is still a fiscal improvement relative to current state, but a smaller one. At 2% real returns (substantially below historical performance), the Sovereign Fund's contribution to platform funding is approximately half the projection, and the platform's mature steady state would result in a small deficit increase rather than a decrease.</w:t>
      </w:r>
    </w:p>
    <w:p>
      <w:pPr>
        <w:spacing w:after="240" w:line="340"/>
        <w:jc w:val="both"/>
      </w:pPr>
      <w:r>
        <w:rPr>
          <w:rFonts w:ascii="Georgia" w:cs="Georgia" w:eastAsia="Georgia" w:hAnsi="Georgia"/>
          <w:color w:val="1A1A1A"/>
          <w:sz w:val="24"/>
          <w:szCs w:val="24"/>
        </w:rPr>
        <w:t>The honest framing is that the platform's mature fiscal benefit is highly dependent on Sovereign Fund performance. The Per-Citizen Benefits and Costs document acknowledges this in its honest acknowledgments section. The platform's economic case is robust at 6% real returns, modestly positive at 4% real returns, and approximately neutral at 2% real returns. Below 2% real returns sustained over 30 years, the platform would not deliver the projected fiscal improvement and would require either reducing commitments, increasing contribution rates, or accepting a higher steady-state federal deficit.</w:t>
      </w:r>
    </w:p>
    <w:p>
      <w:pPr>
        <w:pStyle w:val="Heading1"/>
        <w:spacing w:after="240" w:before="480"/>
      </w:pPr>
      <w:r>
        <w:rPr>
          <w:rFonts w:ascii="Arial" w:cs="Arial" w:eastAsia="Arial" w:hAnsi="Arial"/>
          <w:b/>
          <w:bCs/>
          <w:color w:val="1F4E78"/>
          <w:sz w:val="36"/>
          <w:szCs w:val="36"/>
        </w:rPr>
        <w:t>Sensitivity to Behavioral Economics Uptake</w:t>
      </w:r>
    </w:p>
    <w:p>
      <w:pPr>
        <w:spacing w:after="240" w:line="340"/>
        <w:jc w:val="both"/>
      </w:pPr>
      <w:r>
        <w:rPr>
          <w:rFonts w:ascii="Georgia" w:cs="Georgia" w:eastAsia="Georgia" w:hAnsi="Georgia"/>
          <w:color w:val="1A1A1A"/>
          <w:sz w:val="24"/>
          <w:szCs w:val="24"/>
        </w:rPr>
        <w:t>The mature steady-state fiscal picture and the household savings figure depend on the assumption that platform programs achieve high uptake among eligible households. The Behavioral Economics and Uptake Friction document examines this assumption in detail and identifies five exposure points where uptake may be lower than the platform requires for full benefit delivery. The honest framing of uptake risk is therefore that it threatens benefit delivery rather than fiscal outcomes — lower uptake means fewer households receive the platform's intended benefits, which the platform should care about even though it would technically improve the federal fiscal picture.</w:t>
      </w:r>
    </w:p>
    <w:p>
      <w:pPr>
        <w:spacing w:after="240" w:line="340"/>
        <w:jc w:val="both"/>
      </w:pPr>
      <w:r>
        <w:rPr>
          <w:rFonts w:ascii="Georgia" w:cs="Georgia" w:eastAsia="Georgia" w:hAnsi="Georgia"/>
          <w:color w:val="1A1A1A"/>
          <w:sz w:val="24"/>
          <w:szCs w:val="24"/>
        </w:rPr>
        <w:t>The platform's design has architectural protections that reduce uptake exposure for the most consequential programs. Universal healthcare is default-in: enrollment happens automatically rather than requiring claim filing. Universal childcare is claim-required but the parental-cap design produces strong household incentives to engage. The wage floor exemption applies through Direct File, removing tax preparation friction. The Refundable Transition Bridge Credit is mandatory distribution rather than claim-dependent. These design choices substantially reduce the number of households at risk of failing to engage.</w:t>
      </w:r>
    </w:p>
    <w:p>
      <w:pPr>
        <w:spacing w:after="240" w:line="340"/>
        <w:jc w:val="both"/>
      </w:pPr>
      <w:r>
        <w:rPr>
          <w:rFonts w:ascii="Georgia" w:cs="Georgia" w:eastAsia="Georgia" w:hAnsi="Georgia"/>
          <w:color w:val="1A1A1A"/>
          <w:sz w:val="24"/>
          <w:szCs w:val="24"/>
        </w:rPr>
        <w:t>Sensitivity analysis: at 90% uptake (consistent with EITC (Earned Income Tax Credit) participation rates among eligible filers), approximately 13 million households fail to receive their intended platform benefits, and aggregate household savings benefit is reduced by approximately $200 billion per year. The federal fiscal picture improves correspondingly — undisbursed benefits stay in the federal account — but the platform's purpose is delivering benefits, not accumulating them. The mature steady-state deficit reduction would increase from approximately $900 billion to approximately $1.1 trillion under this scenario, but this is not a positive outcome from the platform's perspective.</w:t>
      </w:r>
    </w:p>
    <w:p>
      <w:pPr>
        <w:spacing w:after="240" w:line="340"/>
        <w:jc w:val="both"/>
      </w:pPr>
      <w:r>
        <w:rPr>
          <w:rFonts w:ascii="Georgia" w:cs="Georgia" w:eastAsia="Georgia" w:hAnsi="Georgia"/>
          <w:color w:val="1A1A1A"/>
          <w:sz w:val="24"/>
          <w:szCs w:val="24"/>
        </w:rPr>
        <w:t>At 80% uptake (substantially below current EITC participation), approximately 26 million households fail to receive intended benefits, and aggregate household savings benefit is reduced by approximately $400 billion. The federal fiscal picture would show approximately $1.3 trillion in deficit reduction, but the platform would have failed to deliver to roughly one in five eligible households. This scenario should trigger redesign of the underperforming programs rather than celebration of the improved fiscal picture.</w:t>
      </w:r>
    </w:p>
    <w:p>
      <w:pPr>
        <w:spacing w:after="240" w:line="340"/>
        <w:jc w:val="both"/>
      </w:pPr>
      <w:r>
        <w:rPr>
          <w:rFonts w:ascii="Georgia" w:cs="Georgia" w:eastAsia="Georgia" w:hAnsi="Georgia"/>
          <w:color w:val="1A1A1A"/>
          <w:sz w:val="24"/>
          <w:szCs w:val="24"/>
        </w:rPr>
        <w:t>At 70% uptake (consistent with the worst-performing means-tested programs), the platform's universal architecture is failing in practice even though it is succeeding on paper. Approximately 39 million households fail to engage. Aggregate household savings benefit would be reduced by approximately $600 billion per year, with the federal fiscal picture showing approximately $1.5 trillion in deficit reduction; this is the most extreme version of the dynamic where federal fiscal improvement coincides with platform mission failure. The platform would require substantial redesign of the underperforming programs, additional outreach investment, and potential structural changes to default-in or auto-enrollment mechanisms.</w:t>
      </w:r>
    </w:p>
    <w:p>
      <w:pPr>
        <w:spacing w:after="240" w:line="340"/>
        <w:jc w:val="both"/>
      </w:pPr>
      <w:r>
        <w:rPr>
          <w:rFonts w:ascii="Georgia" w:cs="Georgia" w:eastAsia="Georgia" w:hAnsi="Georgia"/>
          <w:color w:val="1A1A1A"/>
          <w:sz w:val="24"/>
          <w:szCs w:val="24"/>
        </w:rPr>
        <w:t>The honest framing is that uptake risk is real and material to the platform's purpose. The mature fiscal numbers in this document assume high uptake (95% or above for default-in programs, 85% or above for claim-required programs). If actual uptake falls substantially below these levels, the platform's fiscal picture improves but the platform's intended benefits are not delivered. The Behavioral Economics and Uptake Friction document outlines pilot study designs to measure uptake rates empirically and identify exposure points before nationwide deployment. The platform's architecture should be evaluated against actual uptake data rather than assumed uptake.</w:t>
      </w:r>
    </w:p>
    <w:p>
      <w:pPr>
        <w:spacing w:after="240" w:line="340"/>
        <w:jc w:val="both"/>
      </w:pPr>
      <w:r>
        <w:rPr>
          <w:rFonts w:ascii="Georgia" w:cs="Georgia" w:eastAsia="Georgia" w:hAnsi="Georgia"/>
          <w:color w:val="1A1A1A"/>
          <w:sz w:val="24"/>
          <w:szCs w:val="24"/>
        </w:rPr>
        <w:t>Accounting note on the federal fiscal picture in low-uptake scenarios. The framing above treats undisbursed benefits as automatically flowing to deficit reduction. Whether this treatment is accurate depends on the specific funding architecture for each platform commitment. If contribution rates are fixed at the high-uptake assumption and remain so regardless of actual uptake, undisbursed funds accumulate as program-specific surplus that may flow to general revenue (reducing deficit), accumulate as program reserves, or be carried forward to future-year disbursements, depending on statutory design. If contribution rates adjust dynamically to actual uptake, the federal fiscal picture is approximately neutral relative to the high-uptake baseline. The numbers above assume the fixed-rate architecture; an actuarial review of each program's funding statute would be required to confirm the accounting treatment for that program. The behavioral economics risk to platform mission delivery is real regardless of the accounting treatment of the fiscal picture.</w:t>
      </w:r>
    </w:p>
    <w:p>
      <w:pPr>
        <w:pStyle w:val="Heading1"/>
        <w:spacing w:after="240" w:before="480"/>
      </w:pPr>
      <w:r>
        <w:rPr>
          <w:rFonts w:ascii="Arial" w:cs="Arial" w:eastAsia="Arial" w:hAnsi="Arial"/>
          <w:b/>
          <w:bCs/>
          <w:color w:val="1F4E78"/>
          <w:sz w:val="36"/>
          <w:szCs w:val="36"/>
        </w:rPr>
        <w:t>Sensitivity to State Cooperation Refusal</w:t>
      </w:r>
    </w:p>
    <w:p>
      <w:pPr>
        <w:spacing w:after="240" w:line="340"/>
        <w:jc w:val="both"/>
      </w:pPr>
      <w:r>
        <w:rPr>
          <w:rFonts w:ascii="Georgia" w:cs="Georgia" w:eastAsia="Georgia" w:hAnsi="Georgia"/>
          <w:color w:val="1A1A1A"/>
          <w:sz w:val="24"/>
          <w:szCs w:val="24"/>
        </w:rPr>
        <w:t>Several platform commitments depend on federal-state cooperation for delivery. The State-Level Cooperation Requirements document examines this dependency in detail and identifies which programs are federal-direct (do not require state cooperation) versus federal-state cooperative (require state administrative or fiscal cooperation to deliver fully). The Medicaid expansion precedent — where approximately 10-20 percent of states refused to expand Medicaid for over a decade after the Affordable Care Act made expansion optional — establishes that persistent non-cooperation is realistic.</w:t>
      </w:r>
    </w:p>
    <w:p>
      <w:pPr>
        <w:spacing w:after="240" w:line="340"/>
        <w:jc w:val="both"/>
      </w:pPr>
      <w:r>
        <w:rPr>
          <w:rFonts w:ascii="Georgia" w:cs="Georgia" w:eastAsia="Georgia" w:hAnsi="Georgia"/>
          <w:color w:val="1A1A1A"/>
          <w:sz w:val="24"/>
          <w:szCs w:val="24"/>
        </w:rPr>
        <w:t>The platform's commitments vary in their state cooperation dependency. The wage floor exemption operates through federal income tax architecture and does not require state cooperation. Federal payroll-funded contributions for universal healthcare and Community Contribution Plan operate through existing federal infrastructure. The Sovereign Fund's accumulation is entirely federal. These elements are insulated from state cooperation risk.</w:t>
      </w:r>
    </w:p>
    <w:p>
      <w:pPr>
        <w:spacing w:after="240" w:line="340"/>
        <w:jc w:val="both"/>
      </w:pPr>
      <w:r>
        <w:rPr>
          <w:rFonts w:ascii="Georgia" w:cs="Georgia" w:eastAsia="Georgia" w:hAnsi="Georgia"/>
          <w:color w:val="1A1A1A"/>
          <w:sz w:val="24"/>
          <w:szCs w:val="24"/>
        </w:rPr>
        <w:t>Universal healthcare delivery has substantial state cooperation dependency. The platform's design assumes state Medicaid agencies, state health insurance regulators, and state-administered ACA marketplace functions transition into the universal architecture cooperatively. States that refuse cooperation require federal-direct fallback infrastructure, which is more expensive and slower to deploy than cooperative implementation. Per-state estimate: federal-direct healthcare fallback costs approximately $7 to $11 billion per year per refusing state of average size, reflecting the higher administrative cost of federal-direct delivery and the slower deployment timeline relative to cooperative implementation. The Medicaid expansion precedent — where 10 to 12 states refused expansion at any given time over the past decade, with the specific refusing states changing over time — provides a baseline for likely non-cooperation patterns.</w:t>
      </w:r>
    </w:p>
    <w:p>
      <w:pPr>
        <w:spacing w:after="240" w:line="340"/>
        <w:jc w:val="both"/>
      </w:pPr>
      <w:r>
        <w:rPr>
          <w:rFonts w:ascii="Georgia" w:cs="Georgia" w:eastAsia="Georgia" w:hAnsi="Georgia"/>
          <w:color w:val="1A1A1A"/>
          <w:sz w:val="24"/>
          <w:szCs w:val="24"/>
        </w:rPr>
        <w:t>Universal childcare delivery has even higher state cooperation dependency. The Quebec model relies on provincial administration; the platform's federal version depends on state administrative capacity for parent registration, provider licensing, and quality monitoring. States that refuse cooperation create coverage gaps that federal-direct fallback can only partially address; provider network development requires state-level licensing infrastructure that the federal government cannot easily replicate. Per-state estimate: federal-direct childcare fallback costs approximately $4 to $6 billion per year per refusing state of average size and still leaves coverage gaps for an estimated 30 to 50 percent of children in those states (driven by the difficulty of building provider networks without state licensing infrastructure).</w:t>
      </w:r>
    </w:p>
    <w:p>
      <w:pPr>
        <w:spacing w:after="240" w:line="340"/>
        <w:jc w:val="both"/>
      </w:pPr>
      <w:r>
        <w:rPr>
          <w:rFonts w:ascii="Georgia" w:cs="Georgia" w:eastAsia="Georgia" w:hAnsi="Georgia"/>
          <w:color w:val="1A1A1A"/>
          <w:sz w:val="24"/>
          <w:szCs w:val="24"/>
        </w:rPr>
        <w:t>Sensitivity analysis: under a scenario where 15 percent of states refuse cooperation with universal healthcare and universal childcare (consistent with the Medicaid expansion precedent of 7 to 8 states refusing at a given time), the federal fiscal cost increases by approximately $80 to $130 billion per year (7-8 states times $11-17B per state for combined healthcare and childcare federal-direct fallback). The mature steady-state deficit reduction shrinks from approximately $900 billion to approximately $770 to $820 billion. Households in non-cooperating states experience reduced platform benefit delivery, particularly for universal childcare where federal-direct fallback is incomplete. Under a scenario where 25 percent of states refuse cooperation (worse than the Medicaid expansion precedent, requiring approximately 12-13 states to refuse), federal fiscal cost increases by approximately $130 to $220 billion per year and the deficit reduction shrinks to approximately $680 to $770 billion.</w:t>
      </w:r>
    </w:p>
    <w:p>
      <w:pPr>
        <w:spacing w:after="240" w:line="340"/>
        <w:jc w:val="both"/>
      </w:pPr>
      <w:r>
        <w:rPr>
          <w:rFonts w:ascii="Georgia" w:cs="Georgia" w:eastAsia="Georgia" w:hAnsi="Georgia"/>
          <w:color w:val="1A1A1A"/>
          <w:sz w:val="24"/>
          <w:szCs w:val="24"/>
        </w:rPr>
        <w:t>The honest framing is that state cooperation is the second most consequential fiscal sensitivity (after Sovereign Fund returns). The platform's deployment strategy should include cooperation incentives, federal-direct fallback infrastructure development as a contingency, and explicit communication to households in non-cooperating states about what the platform delivers and what it does not. The State-Level Cooperation Requirements document outlines specific design elements for managing cooperation risk. The platform's mature fiscal picture should be evaluated under both cooperative and non-cooperative scenarios rather than assuming universal cooperation.</w:t>
      </w:r>
    </w:p>
    <w:p>
      <w:pPr>
        <w:pStyle w:val="Heading1"/>
        <w:spacing w:after="240" w:before="480"/>
      </w:pPr>
      <w:r>
        <w:rPr>
          <w:rFonts w:ascii="Arial" w:cs="Arial" w:eastAsia="Arial" w:hAnsi="Arial"/>
          <w:b/>
          <w:bCs/>
          <w:color w:val="1F4E78"/>
          <w:sz w:val="36"/>
          <w:szCs w:val="36"/>
        </w:rPr>
        <w:t>Comparison to Current Fiscal Trajectory</w:t>
      </w:r>
    </w:p>
    <w:p>
      <w:pPr>
        <w:spacing w:after="240" w:line="340"/>
        <w:jc w:val="both"/>
      </w:pPr>
      <w:r>
        <w:rPr>
          <w:rFonts w:ascii="Georgia" w:cs="Georgia" w:eastAsia="Georgia" w:hAnsi="Georgia"/>
          <w:color w:val="1A1A1A"/>
          <w:sz w:val="24"/>
          <w:szCs w:val="24"/>
        </w:rPr>
        <w:t>The platform should be compared not just to the current federal deficit ($2.0 trillion) but to the projected trajectory of federal finances under current law. The Congressional Budget Office projects that, absent policy change, the federal deficit will grow to approximately $3.5-4 trillion per year by 2055, driven primarily by aging-population effects on Social Security and Medicare, plus interest costs on accumulated debt. Federal debt held by the public is projected to reach approximately 195% of GDP by 2055 under current law, compared to approximately 99% currently.</w:t>
      </w:r>
    </w:p>
    <w:p>
      <w:pPr>
        <w:spacing w:after="240" w:line="340"/>
        <w:jc w:val="both"/>
      </w:pPr>
      <w:r>
        <w:rPr>
          <w:rFonts w:ascii="Georgia" w:cs="Georgia" w:eastAsia="Georgia" w:hAnsi="Georgia"/>
          <w:color w:val="1A1A1A"/>
          <w:sz w:val="24"/>
          <w:szCs w:val="24"/>
        </w:rPr>
        <w:t>Against this baseline, the platform's mature steady-state fiscal impact is more favorable than the headline numbers suggest. The platform's $1.1 trillion mature deficit (current $2.0 trillion minus $900 billion improvement) compares to the projected $3.5-4 trillion under current law in the same time frame. The platform's mature fiscal trajectory is substantially better than the current-law baseline for the same year. The Community Contribution Plan and Sovereign Fund architecture together address the underlying drivers (aging-population effects on Social Security, healthcare cost growth) that produce the current-law deficit explosion.  (Source baseline: see Sources_And_Derivation_Convention.docx.)</w:t>
      </w:r>
    </w:p>
    <w:p>
      <w:pPr>
        <w:pStyle w:val="Heading1"/>
        <w:spacing w:after="240" w:before="480"/>
      </w:pPr>
      <w:r>
        <w:rPr>
          <w:rFonts w:ascii="Arial" w:cs="Arial" w:eastAsia="Arial" w:hAnsi="Arial"/>
          <w:b/>
          <w:bCs/>
          <w:color w:val="1F4E78"/>
          <w:sz w:val="36"/>
          <w:szCs w:val="36"/>
        </w:rPr>
        <w:t>Sovereign Fund 4 Percent Return Parallel Scenario</w:t>
      </w:r>
    </w:p>
    <w:p>
      <w:pPr>
        <w:spacing w:after="240" w:line="340"/>
        <w:jc w:val="both"/>
      </w:pPr>
      <w:r>
        <w:rPr>
          <w:rFonts w:ascii="Georgia" w:cs="Georgia" w:eastAsia="Georgia" w:hAnsi="Georgia"/>
          <w:color w:val="1A1A1A"/>
          <w:sz w:val="24"/>
          <w:szCs w:val="24"/>
        </w:rPr>
        <w:t>The Combined Reform Model and this document's base-case projections use a 6% real return assumption for the Sovereign Fund. Open Issues Registry RESEARCH-5 noted that Norway's Government Pension Fund Global has produced approximately 4% real return over its operating history, and that a parallel platform projection at 4% real return would let readers see the platform's outcomes under Norway-equivalent conservative assumptions. The arithmetic was straightforward; what required pause was the platform's narrative preference for the base case. This section presents the parallel scenario at equal analytical weight to the base case.</w:t>
      </w:r>
    </w:p>
    <w:p>
      <w:pPr>
        <w:pStyle w:val="Heading2"/>
        <w:spacing w:after="160" w:before="360"/>
      </w:pPr>
      <w:r>
        <w:rPr>
          <w:rFonts w:ascii="Arial" w:cs="Arial" w:eastAsia="Arial" w:hAnsi="Arial"/>
          <w:b/>
          <w:bCs/>
          <w:color w:val="1F4E78"/>
          <w:sz w:val="28"/>
          <w:szCs w:val="28"/>
        </w:rPr>
        <w:t>Base Case Versus 4 Percent Scenario at Year 60</w:t>
      </w:r>
    </w:p>
    <w:p>
      <w:pPr>
        <w:spacing w:after="240" w:line="340"/>
        <w:jc w:val="both"/>
      </w:pPr>
      <w:r>
        <w:rPr>
          <w:rFonts w:ascii="Georgia" w:cs="Georgia" w:eastAsia="Georgia" w:hAnsi="Georgia"/>
          <w:color w:val="1A1A1A"/>
          <w:sz w:val="24"/>
          <w:szCs w:val="24"/>
        </w:rPr>
        <w:t>Sovereign Fund corpus at Year 60: base case approximately $122 trillion; 4 percent scenario approximately $62.5 trillion. The difference is the compounding effect of two percentage points of real return over 60 years.  (Source baseline: see Sources_And_Derivation_Convention.docx.)</w:t>
      </w:r>
    </w:p>
    <w:p>
      <w:pPr>
        <w:spacing w:after="240" w:line="340"/>
        <w:jc w:val="both"/>
      </w:pPr>
      <w:r>
        <w:rPr>
          <w:rFonts w:ascii="Georgia" w:cs="Georgia" w:eastAsia="Georgia" w:hAnsi="Georgia"/>
          <w:color w:val="1A1A1A"/>
          <w:sz w:val="24"/>
          <w:szCs w:val="24"/>
        </w:rPr>
        <w:t>Mature steady-state disbursements: base case approximately $2.7 trillion per year (at sustainable disbursement rate around 2.2 percent of corpus); 4 percent scenario approximately $1.4 trillion per year. The proportional reduction matches the corpus difference.  (Source baseline: see Sources_And_Derivation_Convention.docx.)</w:t>
      </w:r>
    </w:p>
    <w:p>
      <w:pPr>
        <w:spacing w:after="240" w:line="340"/>
        <w:jc w:val="both"/>
      </w:pPr>
      <w:r>
        <w:rPr>
          <w:rFonts w:ascii="Georgia" w:cs="Georgia" w:eastAsia="Georgia" w:hAnsi="Georgia"/>
          <w:color w:val="1A1A1A"/>
          <w:sz w:val="24"/>
          <w:szCs w:val="24"/>
        </w:rPr>
        <w:t>Federal deficit impact at maturity: base case approximately negative $900 billion (Sovereign Fund disbursements substantially exceed platform's federal-side spending obligations, contributing to deficit reduction); 4 percent scenario approximately negative $400 billion. Even at Norway-equivalent returns, the platform produces meaningful deficit reduction at maturity, but at less than half the base-case magnitude.</w:t>
      </w:r>
    </w:p>
    <w:p>
      <w:pPr>
        <w:spacing w:after="240" w:line="340"/>
        <w:jc w:val="both"/>
      </w:pPr>
      <w:r>
        <w:rPr>
          <w:rFonts w:ascii="Georgia" w:cs="Georgia" w:eastAsia="Georgia" w:hAnsi="Georgia"/>
          <w:color w:val="1A1A1A"/>
          <w:sz w:val="24"/>
          <w:szCs w:val="24"/>
        </w:rPr>
        <w:t>Pillar funding capacity: in the base case, Sovereign Fund disbursements exceed Sovereign Education Fund operating needs by Year 50, allowing expansion to mid-career retraining and other uses described in the Built For What's Coming companion document. In the 4 percent scenario, this surplus emerges in approximately Year 65-70 rather than Year 50, delaying expansion opportunities by 15-20 years.</w:t>
      </w:r>
    </w:p>
    <w:p>
      <w:pPr>
        <w:pStyle w:val="Heading2"/>
        <w:spacing w:after="160" w:before="360"/>
      </w:pPr>
      <w:r>
        <w:rPr>
          <w:rFonts w:ascii="Arial" w:cs="Arial" w:eastAsia="Arial" w:hAnsi="Arial"/>
          <w:b/>
          <w:bCs/>
          <w:color w:val="1F4E78"/>
          <w:sz w:val="28"/>
          <w:szCs w:val="28"/>
        </w:rPr>
        <w:t>What This Means for Platform Evaluation</w:t>
      </w:r>
    </w:p>
    <w:p>
      <w:pPr>
        <w:spacing w:after="240" w:line="340"/>
        <w:jc w:val="both"/>
      </w:pPr>
      <w:r>
        <w:rPr>
          <w:rFonts w:ascii="Georgia" w:cs="Georgia" w:eastAsia="Georgia" w:hAnsi="Georgia"/>
          <w:color w:val="1A1A1A"/>
          <w:sz w:val="24"/>
          <w:szCs w:val="24"/>
        </w:rPr>
        <w:t>The base case and the 4 percent scenario both produce architecturally successful outcomes: Sovereign Education Fund covers educational obligations indefinitely in both scenarios; pillar contributions to federal fiscal balance are positive in both scenarios; the platform's structural reforms (universal healthcare, universal childcare, Wage Floors, Federal Infrastructure Fee architecture) function independently of Sovereign Fund return performance. What changes between scenarios is the magnitude of fiscal benefit and the timeline at which surplus capacity emerges, not the platform's viability.</w:t>
      </w:r>
    </w:p>
    <w:p>
      <w:pPr>
        <w:spacing w:after="240" w:line="340"/>
        <w:jc w:val="both"/>
      </w:pPr>
      <w:r>
        <w:rPr>
          <w:rFonts w:ascii="Georgia" w:cs="Georgia" w:eastAsia="Georgia" w:hAnsi="Georgia"/>
          <w:color w:val="1A1A1A"/>
          <w:sz w:val="24"/>
          <w:szCs w:val="24"/>
        </w:rPr>
        <w:t>A reader evaluating the platform should understand that the 6 percent base case is an optimistic scenario consistent with long-run US equity returns, while the 4 percent scenario is a conservative scenario consistent with diversified global pension fund experience. The platform's fiscal architecture remains coherent across this range. Returns persistently below 4 percent (sustained 2-3 percent real returns over multiple decades) would represent a deeper structural problem requiring platform redesign, but would also represent a deeper structural problem in US capital markets that would require federal response regardless of platform deployment.</w:t>
      </w:r>
    </w:p>
    <w:p>
      <w:pPr>
        <w:pStyle w:val="Heading2"/>
        <w:spacing w:after="160" w:before="360"/>
      </w:pPr>
      <w:r>
        <w:rPr>
          <w:rFonts w:ascii="Arial" w:cs="Arial" w:eastAsia="Arial" w:hAnsi="Arial"/>
          <w:b/>
          <w:bCs/>
          <w:color w:val="1F4E78"/>
          <w:sz w:val="28"/>
          <w:szCs w:val="28"/>
        </w:rPr>
        <w:t>Honest Acknowledgment of Range</w:t>
      </w:r>
    </w:p>
    <w:p>
      <w:pPr>
        <w:spacing w:after="240" w:line="340"/>
        <w:jc w:val="both"/>
      </w:pPr>
      <w:r>
        <w:rPr>
          <w:rFonts w:ascii="Georgia" w:cs="Georgia" w:eastAsia="Georgia" w:hAnsi="Georgia"/>
          <w:color w:val="1A1A1A"/>
          <w:sz w:val="24"/>
          <w:szCs w:val="24"/>
        </w:rPr>
        <w:t>The platform's headline numbers ($122 trillion fund, $2.7 trillion disbursements, $900 billion deficit reduction) should be presented alongside the conservative scenario numbers ($62.5 trillion fund, $1.4 trillion disbursements, $400 billion deficit reduction) rather than as the sole quantitative case. The platform's substantive claim is that the architecture functions in both scenarios, with the magnitude of benefit varying with return performance. RESEARCH-5 is now mitigated: the parallel scenario is incorporated and equal-weight presentation can be applied across the platform's communications materials in subsequent releases.  (Source baseline: see Sources_And_Derivation_Convention.docx.)</w:t>
      </w:r>
    </w:p>
    <w:p>
      <w:pPr>
        <w:pStyle w:val="Heading1"/>
        <w:spacing w:after="240" w:before="480"/>
      </w:pPr>
      <w:r>
        <w:rPr>
          <w:rFonts w:ascii="Arial" w:cs="Arial" w:eastAsia="Arial" w:hAnsi="Arial"/>
          <w:b/>
          <w:bCs/>
          <w:color w:val="1F4E78"/>
          <w:sz w:val="36"/>
          <w:szCs w:val="36"/>
        </w:rPr>
        <w:t>Honest Acknowledgments</w:t>
      </w:r>
    </w:p>
    <w:p>
      <w:pPr>
        <w:pStyle w:val="Heading2"/>
        <w:spacing w:after="160" w:before="360"/>
      </w:pPr>
      <w:r>
        <w:rPr>
          <w:rFonts w:ascii="Arial" w:cs="Arial" w:eastAsia="Arial" w:hAnsi="Arial"/>
          <w:b/>
          <w:bCs/>
          <w:color w:val="1F4E78"/>
          <w:sz w:val="28"/>
          <w:szCs w:val="28"/>
        </w:rPr>
        <w:t>These Numbers Are Framework Estimates</w:t>
      </w:r>
    </w:p>
    <w:p>
      <w:pPr>
        <w:spacing w:after="240" w:line="340"/>
        <w:jc w:val="both"/>
      </w:pPr>
      <w:r>
        <w:rPr>
          <w:rFonts w:ascii="Georgia" w:cs="Georgia" w:eastAsia="Georgia" w:hAnsi="Georgia"/>
          <w:color w:val="1A1A1A"/>
          <w:sz w:val="24"/>
          <w:szCs w:val="24"/>
        </w:rPr>
        <w:t>The figures in this document are framework estimates derived from the platform's substantiation documents and aggregated for the consolidated picture. Detailed fiscal modeling, including state-level interactions, behavioral responses, dynamic effects on labor force participation and business formation, and macroeconomic feedback loops, would substantially refine these estimates. The honest range of uncertainty around the headline mature steady-state $900 billion deficit reduction is approximately $300 billion either way, depending on how the substantial assumptions resolve in practice. The universal healthcare commitment includes basic dental and basic vision per the German GKV standard (preventive and restorative dental, eye examinations and eye disease treatment); the cost figures here are stated within that scope. Long-term care and hearing aids remain outside the platform's universal healthcare commitment and are treated separately in the Aging-in-Place Implications document.</w:t>
      </w:r>
    </w:p>
    <w:p>
      <w:pPr>
        <w:pStyle w:val="Heading2"/>
        <w:spacing w:after="160" w:before="360"/>
      </w:pPr>
      <w:r>
        <w:rPr>
          <w:rFonts w:ascii="Arial" w:cs="Arial" w:eastAsia="Arial" w:hAnsi="Arial"/>
          <w:b/>
          <w:bCs/>
          <w:color w:val="1F4E78"/>
          <w:sz w:val="28"/>
          <w:szCs w:val="28"/>
        </w:rPr>
        <w:t>Transition Costs Are Real and Politically Significant</w:t>
      </w:r>
    </w:p>
    <w:p>
      <w:pPr>
        <w:spacing w:after="240" w:line="340"/>
        <w:jc w:val="both"/>
      </w:pPr>
      <w:r>
        <w:rPr>
          <w:rFonts w:ascii="Georgia" w:cs="Georgia" w:eastAsia="Georgia" w:hAnsi="Georgia"/>
          <w:color w:val="1A1A1A"/>
          <w:sz w:val="24"/>
          <w:szCs w:val="24"/>
        </w:rPr>
        <w:t>The cumulative $8-12 trillion in additional federal borrowing during the transition years is a real fiscal commitment. Service of this borrowing adds approximately $200-400 billion per year to federal interest costs at mature steady state, depending on interest rates. The mature deficit-reduction figures above are net of this additional interest cost. The political challenge of accepting trillion-dollar additional deficits during the transition is non-trivial; the platform's economic case must be compelling enough to overcome the natural political resistance to substantially expanded near-term federal borrowing.</w:t>
      </w:r>
    </w:p>
    <w:p>
      <w:pPr>
        <w:pStyle w:val="Heading2"/>
        <w:spacing w:after="160" w:before="360"/>
      </w:pPr>
      <w:r>
        <w:rPr>
          <w:rFonts w:ascii="Arial" w:cs="Arial" w:eastAsia="Arial" w:hAnsi="Arial"/>
          <w:b/>
          <w:bCs/>
          <w:color w:val="1F4E78"/>
          <w:sz w:val="28"/>
          <w:szCs w:val="28"/>
        </w:rPr>
        <w:t>Sovereign Fund Performance Is the Critical Variable</w:t>
      </w:r>
    </w:p>
    <w:p>
      <w:pPr>
        <w:spacing w:after="240" w:line="340"/>
        <w:jc w:val="both"/>
      </w:pPr>
      <w:r>
        <w:rPr>
          <w:rFonts w:ascii="Georgia" w:cs="Georgia" w:eastAsia="Georgia" w:hAnsi="Georgia"/>
          <w:color w:val="1A1A1A"/>
          <w:sz w:val="24"/>
          <w:szCs w:val="24"/>
        </w:rPr>
        <w:t>Approximately 75% of the platform's mature steady-state revenue depends on Sovereign Fund performance. If the fund underperforms its 6% real return assumption, the platform's fiscal benefits diminish proportionally. The platform's economic case is strongest under historical-norm investment performance (4-6% real returns sustained over 30+ years). Sustained underperformance below 2% real would require significant adjustments to platform commitments or contribution rates. The Sovereign Fund Governance Design document addresses how the fund's structure protects against underperformance through diversification and political independence, but no governance structure can guarantee market returns. The Sensitivity to Sovereign Fund Returns section above provides quantitative analysis at 4% real and 2% real return assumptions.</w:t>
      </w:r>
    </w:p>
    <w:p>
      <w:pPr>
        <w:pStyle w:val="Heading2"/>
        <w:spacing w:after="160" w:before="360"/>
      </w:pPr>
      <w:r>
        <w:rPr>
          <w:rFonts w:ascii="Arial" w:cs="Arial" w:eastAsia="Arial" w:hAnsi="Arial"/>
          <w:b/>
          <w:bCs/>
          <w:color w:val="1F4E78"/>
          <w:sz w:val="28"/>
          <w:szCs w:val="28"/>
        </w:rPr>
        <w:t>State-Level Fiscal Impacts Are Not Captured Here</w:t>
      </w:r>
    </w:p>
    <w:p>
      <w:pPr>
        <w:spacing w:after="240" w:line="340"/>
        <w:jc w:val="both"/>
      </w:pPr>
      <w:r>
        <w:rPr>
          <w:rFonts w:ascii="Georgia" w:cs="Georgia" w:eastAsia="Georgia" w:hAnsi="Georgia"/>
          <w:color w:val="1A1A1A"/>
          <w:sz w:val="24"/>
          <w:szCs w:val="24"/>
        </w:rPr>
        <w:t>This document focuses on federal fiscal impact. State and local government fiscal positions are also affected by the platform — substantially in some cases. States gain fiscal capacity from the federal absorption of Medicaid working-age coverage (approximately $250 billion in current state Medicaid spending freed up). States may face new fiscal pressures from federal-state coordination requirements in education, transportation, and other areas. The Federal-State Coordination Plan document (planned for v2.11) will address state-level fiscal interactions in detail. The federal-only picture in this document does not capture the full government-sector fiscal impact. (Note: this is distinct from state cooperation effects on federal fiscal outcomes, which the Sensitivity to State Cooperation Refusal section above quantifies.)</w:t>
      </w:r>
    </w:p>
    <w:p>
      <w:pPr>
        <w:pStyle w:val="Heading2"/>
        <w:spacing w:after="160" w:before="360"/>
      </w:pPr>
      <w:r>
        <w:rPr>
          <w:rFonts w:ascii="Arial" w:cs="Arial" w:eastAsia="Arial" w:hAnsi="Arial"/>
          <w:b/>
          <w:bCs/>
          <w:color w:val="1F4E78"/>
          <w:sz w:val="28"/>
          <w:szCs w:val="28"/>
        </w:rPr>
        <w:t>Macroeconomic Feedback Loops Are Not Modeled</w:t>
      </w:r>
    </w:p>
    <w:p>
      <w:pPr>
        <w:spacing w:after="240" w:line="340"/>
        <w:jc w:val="both"/>
      </w:pPr>
      <w:r>
        <w:rPr>
          <w:rFonts w:ascii="Georgia" w:cs="Georgia" w:eastAsia="Georgia" w:hAnsi="Georgia"/>
          <w:color w:val="1A1A1A"/>
          <w:sz w:val="24"/>
          <w:szCs w:val="24"/>
        </w:rPr>
        <w:t>The platform's commitments would have substantial macroeconomic effects — on labor force participation (especially of mothers, given universal childcare), on business formation (given universal healthcare's elimination of job-lock), on educational attainment (given the Sovereign Education Fund), and on consumption patterns (given the household savings shown in the citizen-facing tables). These macroeconomic feedback loops would generate additional federal revenue through increased economic activity but are not captured in the static fiscal estimates above. Including dynamic effects would likely improve the platform's fiscal picture by an estimated $200-500 billion per year at mature steady state, but this is an estimate range rather than a precise projection.</w:t>
      </w:r>
    </w:p>
    <w:p>
      <w:pPr>
        <w:pStyle w:val="Heading1"/>
        <w:spacing w:after="240" w:before="480"/>
      </w:pPr>
      <w:r>
        <w:rPr>
          <w:rFonts w:ascii="Arial" w:cs="Arial" w:eastAsia="Arial" w:hAnsi="Arial"/>
          <w:b/>
          <w:bCs/>
          <w:color w:val="1F4E78"/>
          <w:sz w:val="36"/>
          <w:szCs w:val="36"/>
        </w:rPr>
        <w:t>Methodology: How These Projections Were Constructed</w:t>
      </w:r>
    </w:p>
    <w:p>
      <w:pPr>
        <w:spacing w:before="480"/>
        <w:jc w:val="center"/>
      </w:pPr>
      <w:r>
        <w:rPr>
          <w:rFonts w:ascii="Arial" w:cs="Arial" w:eastAsia="Arial" w:hAnsi="Arial"/>
          <w:i/>
          <w:iCs/>
          <w:color w:val="595959"/>
          <w:sz w:val="16"/>
          <w:szCs w:val="16"/>
        </w:rPr>
        <w:t>This section addresses a methodology-opacity finding from the v3.1.0 policy-professional persona simulation. The headline fiscal figures in the preceding sections are sourced (per v2.30.42) but the methodology by which projections were constructed has been compactly described rather than walked through at the level of a working-paper appendix. The platform's lead author is not a credentialed economist (documented as PROCESS-1 in the Open Issues Registry), and the mathematical models have not been independently audited (PROCESS-3); this methodology section makes the assumptions, parameter sources, and sensitivity considerations explicit so that external review by credentialed professionals has the visibility it requires.</w:t>
      </w:r>
    </w:p>
    <w:p>
      <w:pPr>
        <w:pStyle w:val="Heading2"/>
        <w:spacing w:after="160" w:before="360"/>
      </w:pPr>
      <w:r>
        <w:rPr>
          <w:rFonts w:ascii="Arial" w:cs="Arial" w:eastAsia="Arial" w:hAnsi="Arial"/>
          <w:b/>
          <w:bCs/>
          <w:color w:val="1F4E78"/>
          <w:sz w:val="28"/>
          <w:szCs w:val="28"/>
        </w:rPr>
        <w:t>Core projection architecture</w:t>
      </w:r>
    </w:p>
    <w:p>
      <w:pPr>
        <w:spacing w:before="480"/>
        <w:jc w:val="center"/>
      </w:pPr>
      <w:r>
        <w:rPr>
          <w:rFonts w:ascii="Arial" w:cs="Arial" w:eastAsia="Arial" w:hAnsi="Arial"/>
          <w:i/>
          <w:iCs/>
          <w:color w:val="595959"/>
          <w:sz w:val="16"/>
          <w:szCs w:val="16"/>
        </w:rPr>
        <w:t>The projection architecture distinguishes three categories of figure: (1) revenue-side figures derived from current federal tax data and scaled forward under documented assumptions; (2) expenditure-side figures derived from current federal program spending and projected forward under the platform's policy parameters; (3) Sovereign Fund accumulation figures derived from compounding-return models with explicit base-case and stress-scenario parameters. Each category uses different source data and different assumptions; the FFIA presents headline figures that combine all three into integrated fiscal-impact statements, but the integration is the final step rather than the foundation.</w:t>
      </w:r>
    </w:p>
    <w:p>
      <w:pPr>
        <w:pStyle w:val="Heading2"/>
        <w:spacing w:after="160" w:before="360"/>
      </w:pPr>
      <w:r>
        <w:rPr>
          <w:rFonts w:ascii="Arial" w:cs="Arial" w:eastAsia="Arial" w:hAnsi="Arial"/>
          <w:b/>
          <w:bCs/>
          <w:color w:val="1F4E78"/>
          <w:sz w:val="28"/>
          <w:szCs w:val="28"/>
        </w:rPr>
        <w:t>Key parameter sources</w:t>
      </w:r>
    </w:p>
    <w:p>
      <w:pPr>
        <w:spacing w:before="480"/>
        <w:jc w:val="center"/>
      </w:pPr>
      <w:r>
        <w:rPr>
          <w:rFonts w:ascii="Arial" w:cs="Arial" w:eastAsia="Arial" w:hAnsi="Arial"/>
          <w:i/>
          <w:iCs/>
          <w:color w:val="595959"/>
          <w:sz w:val="16"/>
          <w:szCs w:val="16"/>
        </w:rPr>
        <w:t>Federal income tax baseline data come from IRS (Internal Revenue Service) Statistics of Income tables and Joint Committee on Taxation (JCT) tax expenditure reports. Federal program spending data come from Office of Management and Budget historical tables and Congressional Budget Office (CBO) baseline projections. Healthcare expenditure baselines come from National Health Expenditure (NHE) data published by the Centers for Medicare and Medicaid Services (CMS). Wage-distribution data come from Bureau of Labor Statistics (BLS) Occupational Employment and Wage Statistics (OEWS). Demographic projections come from Census Bureau and Social Security Trustees Reports. Each parameter source is referenced inline where the corresponding figure appears in the body of this document; the consolidated source list above is provided for convenience.</w:t>
      </w:r>
    </w:p>
    <w:p>
      <w:pPr>
        <w:pStyle w:val="Heading2"/>
        <w:spacing w:after="160" w:before="360"/>
      </w:pPr>
      <w:r>
        <w:rPr>
          <w:rFonts w:ascii="Arial" w:cs="Arial" w:eastAsia="Arial" w:hAnsi="Arial"/>
          <w:b/>
          <w:bCs/>
          <w:color w:val="1F4E78"/>
          <w:sz w:val="28"/>
          <w:szCs w:val="28"/>
        </w:rPr>
        <w:t>Headline assumptions</w:t>
      </w:r>
    </w:p>
    <w:p>
      <w:pPr>
        <w:spacing w:before="480"/>
        <w:jc w:val="center"/>
      </w:pPr>
      <w:r>
        <w:rPr>
          <w:rFonts w:ascii="Arial" w:cs="Arial" w:eastAsia="Arial" w:hAnsi="Arial"/>
          <w:i/>
          <w:iCs/>
          <w:color w:val="595959"/>
          <w:sz w:val="16"/>
          <w:szCs w:val="16"/>
        </w:rPr>
        <w:t>The projections rest on several headline assumptions: (1) Sovereign Fund returns of 6 percent real annualized (base case) with 4 percent stress-scenario alternative documented in OIR Section 52; (2) healthcare cost reduction trajectory targeting per-capita spending of 9,500 dollars by Year 15 from a current baseline of 14,612 dollars (canonical figures established in the Healthcare Transition Detailed Plan); (3) wage-floor parameters set at the BLS twenty-fifth percentile by occupation, scaled annually by the BLS-published occupational wage growth rate; (4) policy-parameter stability over the projection horizon (the platform does not model endogenous parameter adjustments by future Congresses, which is a known limitation). Each assumption is internally consistent with the platform's broader architecture; external review by macro-economists, healthcare economists, and labor economists would bring tools the platform's lead author does not have.</w:t>
      </w:r>
    </w:p>
    <w:p>
      <w:pPr>
        <w:pStyle w:val="Heading2"/>
        <w:spacing w:after="160" w:before="360"/>
      </w:pPr>
      <w:r>
        <w:rPr>
          <w:rFonts w:ascii="Arial" w:cs="Arial" w:eastAsia="Arial" w:hAnsi="Arial"/>
          <w:b/>
          <w:bCs/>
          <w:color w:val="1F4E78"/>
          <w:sz w:val="28"/>
          <w:szCs w:val="28"/>
        </w:rPr>
        <w:t>Sensitivity considerations</w:t>
      </w:r>
    </w:p>
    <w:p>
      <w:pPr>
        <w:spacing w:before="480"/>
        <w:jc w:val="center"/>
      </w:pPr>
      <w:r>
        <w:rPr>
          <w:rFonts w:ascii="Arial" w:cs="Arial" w:eastAsia="Arial" w:hAnsi="Arial"/>
          <w:i/>
          <w:iCs/>
          <w:color w:val="595959"/>
          <w:sz w:val="16"/>
          <w:szCs w:val="16"/>
        </w:rPr>
        <w:t>The platform's projections are most sensitive to: (a) healthcare cost reduction trajectory (a slower trajectory than the base case would defer the per-capita target by years and reduce projected Sovereign Fund contributions in the meantime); (b) Sovereign Fund return assumptions (the 6 percent base case versus 4 percent stress scenario produces approximately a two-times difference in 60-year accumulation, documented in OIR Section 52); (c) wage-growth assumptions (faster wage growth shifts more workers above wage-floor exemptions, increasing federal income tax revenue modestly); (d) labor-force participation assumptions (the platform does not model behavioral elasticity in labor supply, which a labor economist would specifically want to model). The sensitivity discussion above is qualitative; a working-paper-level treatment would include numerical sensitivity tables, which is the kind of work that warrants external research-expertise engagement (RESEARCH items in OIR Section 52).</w:t>
      </w:r>
    </w:p>
    <w:p>
      <w:pPr>
        <w:pStyle w:val="Heading2"/>
        <w:spacing w:after="160" w:before="360"/>
      </w:pPr>
      <w:r>
        <w:rPr>
          <w:rFonts w:ascii="Arial" w:cs="Arial" w:eastAsia="Arial" w:hAnsi="Arial"/>
          <w:b/>
          <w:bCs/>
          <w:color w:val="1F4E78"/>
          <w:sz w:val="28"/>
          <w:szCs w:val="28"/>
        </w:rPr>
        <w:t>What this section does not provide</w:t>
      </w:r>
    </w:p>
    <w:p>
      <w:pPr>
        <w:spacing w:before="480"/>
        <w:jc w:val="center"/>
      </w:pPr>
      <w:r>
        <w:rPr>
          <w:rFonts w:ascii="Arial" w:cs="Arial" w:eastAsia="Arial" w:hAnsi="Arial"/>
          <w:i/>
          <w:iCs/>
          <w:color w:val="595959"/>
          <w:sz w:val="16"/>
          <w:szCs w:val="16"/>
        </w:rPr>
        <w:t>This methodology section provides the architectural skeleton that a policy professional reading the FFIA in isolation needs to evaluate the document's claims. It does not provide: numerical sensitivity tables across the parameter space; formal Monte Carlo simulation of return-distribution scenarios; econometric estimation of behavioral-response parameters; independent peer review of the fiscal-impact methodology. Each of these is acknowledged as work that requires external expertise and is tracked in the Open Issues Registry. The platform's position is that this section's transparency about what is and is not included is itself the appropriate response to the methodology-opacity persona finding: rather than overstating analytical depth, the platform documents its methodology to the level the lead author can substantiate, names the further work that credentialed professionals would perform, and tracks the gap explicitly.</w:t>
      </w:r>
    </w:p>
    <w:p>
      <w:pPr>
        <w:pStyle w:val="Heading1"/>
      </w:pPr>
      <w:r>
        <w:t>Circuit-Breaker Thresholds</w:t>
      </w:r>
    </w:p>
    <w:p>
      <w:r>
        <w:t>The Fiscal Control Panel evaluates each modeled scenario against a set of circuit breakers — guardrail metrics that read clear, watch, or tripped. The thresholds below are governance design settings, not empirically estimated breakpoints: each is positioned relative to the model's central estimate so that a watch flags a scenario drifting toward the edge of the modeled range and a tripped state flags one that has left it. They are documented here so the panel's states are interpretable and the thresholds themselves are open to scrutiny; like every figure on the platform they are subject to revision and remain pending credentialed validation.</w:t>
      </w:r>
    </w:p>
    <w:p>
      <w:r>
        <w:t>Funding adequacy. Watch when realized new revenue falls below the derived $115 billion steady-state target (any shortfall); tripped when the shortfall exceeds 15 percent. Central estimate: realized revenue of roughly $194-198 billion, a surplus. Rationale: any shortfall warrants monitoring, and the 15 percent trip point marks where a miss would exceed the surplus-plus-Sovereign-Fund contingency the model carries. The $115B target is Housing plus Immigration; the Bridge Credit is transition-financed and not part of this steady-state target.</w:t>
      </w:r>
    </w:p>
    <w:p>
      <w:r>
        <w:t>Wealth-base erosion. Watch when 25 percent of the wealth base is lost to flight, restructuring, and valuation responses; tripped at 45 percent. Central estimate: 15 percent (model basis). Rationale: 25 percent is the top of the modeled erosion range, so reaching it means the wealth mechanisms are at the pessimistic edge of expectations; 45 percent would be erosion far beyond any modeled scenario, indicating the mechanisms are not performing as designed.</w:t>
      </w:r>
    </w:p>
    <w:p>
      <w:r>
        <w:t>Disemployment from the wage floor. Watch at a 2 percent disemployment rate; tripped at 4 percent. Central estimate: approximately 0.3 percent. Rationale: the central estimate is well under one percent, so 2 percent represents a high-elasticity world worth flagging, and 4 percent would indicate labor-market harm inconsistent with a policy whose purpose is to raise the wage floor without displacing the workers it is meant to protect.</w:t>
      </w:r>
    </w:p>
    <w:p>
      <w:r>
        <w:t>Share of households better off. Watch below 90 percent; tripped below 80 percent. Central estimate: approximately 98 percent. Rationale: the platform's core distributional claim is that the large majority of households are better off under the reform; the model shows about 98 percent, so falling below 90 percent materially weakens that claim and below 80 percent would contradict it.</w:t>
      </w:r>
    </w:p>
    <w:p>
      <w:r>
        <w:t>Wealth-tax rate guardrail. Clear at or below 1 percent; watch at or below 2 percent; tripped above 2 percent. Canonical rate: 0.6 percent. Rationale: the canonical 0.6 percent rate is sized to the funding need on conservative, immobile-base assumptions; rates up to one percent remain within the defensible low-rate range, one-to-two percent is a caution band, and above two percent departs from the platform's deliberately low-rate design.</w:t>
      </w:r>
    </w:p>
    <w:p>
      <w:r>
        <w:t>These thresholds are encoded in the simulation's breaker logic and mirrored in the Fiscal Control Panel's clear, watch, and tripped indicators. Adjusting a threshold changes only when the panel flags a scenario; it does not change any underlying policy parameter.</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The platform's consolidated federal fiscal impact, at mature steady state, is approximately $900 billion per year in deficit reduction relative to the current state. This is achieved by combining absorbed program savings ($1.5 trillion), new contribution revenues ($1.1 trillion combined), and Sovereign Fund disbursements ($2.7 trillion). The transition years require substantial additional federal borrowing (cumulative $8-12 trillion over 25 years), which is non-trivial but smaller than several historical fiscal commitments. The mature steady-state result depends critically on Sovereign Fund performance at the assumed 6% real return rate; lower returns proportionally reduce the platform's fiscal benefits. Compared to the projected current-law trajectory of federal deficits ($3.5-4 trillion per year by 2055), the platform's mature steady state represents a substantial fiscal improvement. This is the consolidated answer to the question 'what does the platform do to the federal deficit?' that policy reviewers will ask.</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