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EXISTING PENSIONERS</w:t>
      </w:r>
    </w:p>
    <w:p>
      <w:pPr>
        <w:spacing w:after="200"/>
        <w:jc w:val="center"/>
      </w:pPr>
      <w:r>
        <w:rPr>
          <w:rFonts w:ascii="Arial" w:cs="Arial" w:eastAsia="Arial" w:hAnsi="Arial"/>
          <w:b/>
          <w:bCs/>
          <w:color w:val="1F4E78"/>
          <w:sz w:val="46"/>
          <w:szCs w:val="46"/>
        </w:rPr>
        <w:t>AND THE PLATFORM</w:t>
      </w:r>
    </w:p>
    <w:p>
      <w:pPr>
        <w:spacing w:after="200"/>
        <w:jc w:val="center"/>
      </w:pPr>
      <w:r>
        <w:rPr>
          <w:rFonts w:ascii="Arial" w:cs="Arial" w:eastAsia="Arial" w:hAnsi="Arial"/>
          <w:i/>
          <w:iCs/>
          <w:color w:val="C00000"/>
          <w:sz w:val="28"/>
          <w:szCs w:val="28"/>
        </w:rPr>
        <w:t>How the Platform Treats Americans Already Receiving Retirement Income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platform integrate with current Social Security retirement benefits?</w:t>
      </w:r>
    </w:p>
    <w:p>
      <w:pPr>
        <w:spacing w:after="200"/>
        <w:jc w:val="center"/>
      </w:pPr>
      <w:r>
        <w:rPr>
          <w:rFonts w:ascii="Georgia" w:cs="Georgia" w:eastAsia="Georgia" w:hAnsi="Georgia"/>
          <w:i/>
          <w:iCs/>
          <w:color w:val="1A1A1A"/>
          <w:sz w:val="24"/>
          <w:szCs w:val="24"/>
        </w:rPr>
        <w:t>What about state, federal, and military pensioners?</w:t>
      </w:r>
    </w:p>
    <w:p>
      <w:pPr>
        <w:spacing w:after="1200"/>
        <w:jc w:val="center"/>
      </w:pPr>
      <w:r>
        <w:rPr>
          <w:rFonts w:ascii="Georgia" w:cs="Georgia" w:eastAsia="Georgia" w:hAnsi="Georgia"/>
          <w:i/>
          <w:iCs/>
          <w:color w:val="1A1A1A"/>
          <w:sz w:val="24"/>
          <w:szCs w:val="24"/>
        </w:rPr>
        <w:t>How does the platform handle the early-retiree gap and inflation adjustments?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v2.16</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Approximately 75 million Americans receive retirement income from at least one defined benefit source. Social Security pays retirement benefits to about 52 million retired workers and survivors. State and local government pension systems pay roughly 11 million retirees. Federal civilian retirement systems (Federal Employees Retirement System (FERS) and CSRS (Civil Service Retirement System)) pay about 2.6 million retirees. Military retirement pays about 2.1 million veterans. Private defined-benefit pension plans, while declining as a workforce phenomenon, still pay roughly 10 million retirees, with significant overlap among these populations as people receive income from multiple sources.</w:t>
      </w:r>
    </w:p>
    <w:p>
      <w:pPr>
        <w:spacing w:after="240" w:line="340"/>
        <w:jc w:val="both"/>
      </w:pPr>
      <w:r>
        <w:rPr>
          <w:rFonts w:ascii="Georgia" w:cs="Georgia" w:eastAsia="Georgia" w:hAnsi="Georgia"/>
          <w:color w:val="1A1A1A"/>
          <w:sz w:val="24"/>
          <w:szCs w:val="24"/>
        </w:rPr>
        <w:t>These pensioners are not a footnote to the platform's analysis; they represent close to a quarter of the US population, vote at substantially higher rates than younger Americans, and receive aggregate retirement income flows in the range of $1.4 trillion per year from public and private pension sources combined. They will be among the platform's most attentive observers because changes to retirement systems are existentially important to people whose income depends on them. The platform's design must specify how it treats this population, and the specifications must be visible enough that pensioners can evaluate the platform with confidence.</w:t>
      </w:r>
    </w:p>
    <w:p>
      <w:pPr>
        <w:spacing w:after="240" w:before="480"/>
      </w:pPr>
      <w:r>
        <w:rPr>
          <w:rFonts w:ascii="Arial" w:cs="Arial" w:eastAsia="Arial" w:hAnsi="Arial"/>
          <w:b/>
          <w:bCs/>
          <w:color w:val="1F4E78"/>
          <w:sz w:val="36"/>
          <w:szCs w:val="36"/>
        </w:rPr>
        <w:t>The platform's Community Contribution Plan replaces FICA (Federal Insurance Contributions Act) at a revenue-neutral rate in mature steady state. The platform's universal healthcare absorbs Medicare. The platform's wage floor exemption replaces the standard deduction for federal income tax purposes. Each commitment interacts with pensioners in distinctive ways. This document maps those interactions, identifies the design choices the platform must make about the early-retiree gap, examines vested rights protection for current pension recipients, and addresses the cost-of-living adjustment mechanics that affect how pension income tracks inflation under the platform's assumptions. As with the v2.16 companion document on public-sector worker transitions, this analysis is framework-level rather than benefit-formula-detailed; specific FERS, CSRS, military retirement, or state pension calculation mechanics are beyond this document's scope.</w:t>
      </w:r>
    </w:p>
    <w:p>
      <w:pPr>
        <w:pStyle w:val="Heading1"/>
        <w:spacing w:after="240" w:line="340"/>
        <w:jc w:val="both"/>
      </w:pPr>
      <w:r>
        <w:rPr>
          <w:rFonts w:ascii="Georgia" w:cs="Georgia" w:eastAsia="Georgia" w:hAnsi="Georgia"/>
          <w:color w:val="1A1A1A"/>
          <w:sz w:val="24"/>
          <w:szCs w:val="24"/>
        </w:rPr>
        <w:t>Why Pensioners Are Categorically Different from Workers</w:t>
      </w:r>
    </w:p>
    <w:p>
      <w:pPr>
        <w:spacing w:after="240" w:line="340"/>
        <w:jc w:val="both"/>
      </w:pPr>
      <w:r>
        <w:rPr>
          <w:rFonts w:ascii="Georgia" w:cs="Georgia" w:eastAsia="Georgia" w:hAnsi="Georgia"/>
          <w:color w:val="1A1A1A"/>
          <w:sz w:val="24"/>
          <w:szCs w:val="24"/>
        </w:rPr>
        <w:t>The platform's contribution architecture (universal healthcare 4% employer plus 2% employee, universal childcare 0.5 percent, Universal Mental Health 0.3 percent, all on payroll) is funded through payroll contributions. Pensioners receive pension income but not labor income. Their pension distributions are not subject to payroll tax. They do not pay FICA on their pension; they will not pay the Community Contribution Plan on their pension; the universal healthcare contribution does not naturally apply to pension income.</w:t>
      </w:r>
    </w:p>
    <w:p>
      <w:pPr>
        <w:spacing w:after="240" w:before="480"/>
      </w:pPr>
      <w:r>
        <w:rPr>
          <w:rFonts w:ascii="Arial" w:cs="Arial" w:eastAsia="Arial" w:hAnsi="Arial"/>
          <w:b/>
          <w:bCs/>
          <w:color w:val="1F4E78"/>
          <w:sz w:val="36"/>
          <w:szCs w:val="36"/>
        </w:rPr>
        <w:t>This is not unusual. Social Security retirement benefits have always been funded by current workers' FICA contributions, not by retirees' continued contributions. Medicare hospital insurance is funded the same way. The platform inherits this intergenerational structure: today's workers fund universal healthcare for both today's workers and today's retirees, just as today's workers fund Medicare for today's retirees. The relevant question is not how pensioners contribute to the platform's funding (they generally do not, by design) but how the platform delivers benefits to them.</w:t>
      </w:r>
    </w:p>
    <w:p>
      <w:pPr>
        <w:spacing w:after="240" w:line="340"/>
        <w:jc w:val="both"/>
      </w:pPr>
      <w:r>
        <w:rPr>
          <w:rFonts w:ascii="Georgia" w:cs="Georgia" w:eastAsia="Georgia" w:hAnsi="Georgia"/>
          <w:color w:val="1A1A1A"/>
          <w:sz w:val="24"/>
          <w:szCs w:val="24"/>
        </w:rPr>
        <w:t>Pensioners interact with the platform through three primary channels: continuation of existing pension income (which the platform does not affect for vested benefits), access to universal healthcare and other universal services (which the platform provides without their direct contribution), and the federal income tax architecture (which applies to taxable retirement income through the wage floor exemption replacing the standard deduction). The platform's design must specify each interaction explicitly so pensioners can evaluate their position.</w:t>
      </w:r>
    </w:p>
    <w:p>
      <w:pPr>
        <w:pStyle w:val="Heading1"/>
        <w:spacing w:after="240" w:line="340"/>
        <w:jc w:val="both"/>
      </w:pPr>
      <w:r>
        <w:rPr>
          <w:rFonts w:ascii="Georgia" w:cs="Georgia" w:eastAsia="Georgia" w:hAnsi="Georgia"/>
          <w:color w:val="1A1A1A"/>
          <w:sz w:val="24"/>
          <w:szCs w:val="24"/>
        </w:rPr>
        <w:t>Social Security Recipients</w:t>
      </w:r>
    </w:p>
    <w:p>
      <w:pPr>
        <w:spacing w:after="240" w:line="340"/>
        <w:jc w:val="both"/>
      </w:pPr>
      <w:r>
        <w:rPr>
          <w:rFonts w:ascii="Georgia" w:cs="Georgia" w:eastAsia="Georgia" w:hAnsi="Georgia"/>
          <w:color w:val="1A1A1A"/>
          <w:sz w:val="24"/>
          <w:szCs w:val="24"/>
        </w:rPr>
        <w:t>Social Security retirement benefits go to approximately 52 million Americans. The Old Age, Survivors, and Disability Insurance (OASDI) trust fund pays out roughly $1.4 trillion annually in retirement and survivor benefits. The Trust Fund's solvency is a matter of long-running policy concern: under current projections, the OASI Trust Fund (excluding disability) is projected to be unable to pay full scheduled benefits sometime in the mid-2030s, after which incoming FICA contributions would cover approximately 80 percent of scheduled benefits.</w:t>
      </w:r>
    </w:p>
    <w:p>
      <w:pPr>
        <w:spacing w:after="240" w:line="340"/>
        <w:jc w:val="both"/>
      </w:pPr>
      <w:r>
        <w:rPr>
          <w:rFonts w:ascii="Georgia" w:cs="Georgia" w:eastAsia="Georgia" w:hAnsi="Georgia"/>
          <w:color w:val="1A1A1A"/>
          <w:sz w:val="24"/>
          <w:szCs w:val="24"/>
        </w:rPr>
        <w:t>The platform's Community Contribution Plan transition is designed to be revenue-neutral relative to current FICA in mature steady state. The transition begins with FICA continuing during early years and the Community Contribution Plan replacing FICA at a revenue-neutral rate as the architecture matures. For current Social Security recipients, the platform's transition should produce no benefit changes. Their existing benefits continue at existing levels with existing cost-of-living adjustments. Vested rights protection is the foundational principle: benefits already accrued under Social Security cannot be reduced by the platform's transition.</w:t>
      </w:r>
    </w:p>
    <w:p>
      <w:pPr>
        <w:spacing w:after="240" w:before="480"/>
      </w:pPr>
      <w:r>
        <w:rPr>
          <w:rFonts w:ascii="Arial" w:cs="Arial" w:eastAsia="Arial" w:hAnsi="Arial"/>
          <w:b/>
          <w:bCs/>
          <w:color w:val="1F4E78"/>
          <w:sz w:val="36"/>
          <w:szCs w:val="36"/>
        </w:rPr>
        <w:t>The OASDI Trust Fund's pre-existing solvency challenge is not solved by the platform but is also not worsened. The Community Contribution Plan's revenue-neutral design means the same flow of contributions enters the system; the same flow of obligations leaves it. The platform does not solve the demographic pressure on Social Security caused by the baby boom generation's retirement and the lower fertility of subsequent generations. It also does not exacerbate that pressure. The Sovereign Fund, however, may indirectly help: as the Sovereign Fund corpus grows over decades, its disbursements (planned to fund a substantial fraction of universal healthcare and other commitments) reduce the need for federal general revenue contribution to those programs, which frees federal general revenue capacity to backstop the OASDI Trust Fund if needed. This is a long-term structural benefit but does not solve the near-term solvency question.</w:t>
      </w:r>
    </w:p>
    <w:p>
      <w:pPr>
        <w:spacing w:after="240" w:line="340"/>
        <w:jc w:val="both"/>
      </w:pPr>
      <w:r>
        <w:rPr>
          <w:rFonts w:ascii="Georgia" w:cs="Georgia" w:eastAsia="Georgia" w:hAnsi="Georgia"/>
          <w:color w:val="1A1A1A"/>
          <w:sz w:val="24"/>
          <w:szCs w:val="24"/>
        </w:rPr>
        <w:t>Communication to current Social Security recipients should be unambiguous: their benefits are protected as vested rights; the platform does not reduce them; the Community Contribution Plan transition is revenue-neutral and does not affect benefit calculations. This message must be repeated and visible because Social Security solvency concerns produce baseline anxiety in current recipients that platform-related changes will only intensify if not addressed clearly.</w:t>
      </w:r>
    </w:p>
    <w:p>
      <w:pPr>
        <w:pStyle w:val="Heading1"/>
        <w:spacing w:after="240" w:line="340"/>
        <w:jc w:val="both"/>
      </w:pPr>
      <w:r>
        <w:rPr>
          <w:rFonts w:ascii="Georgia" w:cs="Georgia" w:eastAsia="Georgia" w:hAnsi="Georgia"/>
          <w:color w:val="1A1A1A"/>
          <w:sz w:val="24"/>
          <w:szCs w:val="24"/>
        </w:rPr>
        <w:t>Federal Civilian Retirees</w:t>
      </w:r>
    </w:p>
    <w:p>
      <w:pPr>
        <w:spacing w:after="240" w:line="340"/>
        <w:jc w:val="both"/>
      </w:pPr>
      <w:r>
        <w:rPr>
          <w:rFonts w:ascii="Georgia" w:cs="Georgia" w:eastAsia="Georgia" w:hAnsi="Georgia"/>
          <w:color w:val="1A1A1A"/>
          <w:sz w:val="24"/>
          <w:szCs w:val="24"/>
        </w:rPr>
        <w:t>Federal civilian retirees number approximately 2.6 million, receiving annuities through CSRS or FERS. CSRS retirees (older retirees, hired before 1984) receive a defined benefit annuity based on a relatively generous formula; they do not receive Social Security retirement benefits from their federal service (though they may receive Social Security from prior or subsequent non-federal employment). FERS retirees receive a smaller defined benefit annuity, Social Security retirement benefits, and Thrift Savings Plan withdrawals; the three together provide their retirement income.</w:t>
      </w:r>
    </w:p>
    <w:p>
      <w:pPr>
        <w:spacing w:after="240" w:before="480"/>
      </w:pPr>
      <w:r>
        <w:rPr>
          <w:rFonts w:ascii="Arial" w:cs="Arial" w:eastAsia="Arial" w:hAnsi="Arial"/>
          <w:b/>
          <w:bCs/>
          <w:color w:val="1F4E78"/>
          <w:sz w:val="36"/>
          <w:szCs w:val="36"/>
        </w:rPr>
        <w:t>Under the platform, federal civilian retirees' annuity payments continue unchanged. CSRS annuities are vested rights and not subject to platform-driven modification. FERS Basic Benefit annuities are similarly protected. The Social Security component of FERS continues seamlessly through the Community Contribution Plan transition as discussed above. Thrift Savings Plan accounts continue under their existing rules. Federal civilian retirees' overall retirement income is not affected by the platform's transition.</w:t>
      </w:r>
    </w:p>
    <w:p>
      <w:pPr>
        <w:spacing w:after="240" w:line="340"/>
        <w:jc w:val="both"/>
      </w:pPr>
      <w:r>
        <w:rPr>
          <w:rFonts w:ascii="Georgia" w:cs="Georgia" w:eastAsia="Georgia" w:hAnsi="Georgia"/>
          <w:color w:val="1A1A1A"/>
          <w:sz w:val="24"/>
          <w:szCs w:val="24"/>
        </w:rPr>
        <w:t>Federal civilian retirees' healthcare coverage continues through FEHB (Federal Employees Health Benefits) with Medicare integration for those age 65 and over. Under the v2.16 public-sector worker transitions analysis, FEHB continues as federal supplemental coverage layered atop universal healthcare. Federal retirees do not pay the universal healthcare contribution (since they have no payroll income); their universal coverage is provided through the platform's general funding architecture. Their FEHB premium contributions continue at current levels; the federal government continues to subsidize FEHB premiums for retirees.</w:t>
      </w:r>
    </w:p>
    <w:p>
      <w:pPr>
        <w:pStyle w:val="Heading1"/>
        <w:spacing w:after="240" w:line="340"/>
        <w:jc w:val="both"/>
      </w:pPr>
      <w:r>
        <w:rPr>
          <w:rFonts w:ascii="Georgia" w:cs="Georgia" w:eastAsia="Georgia" w:hAnsi="Georgia"/>
          <w:color w:val="1A1A1A"/>
          <w:sz w:val="24"/>
          <w:szCs w:val="24"/>
        </w:rPr>
        <w:t>Military Retirees and Veterans</w:t>
      </w:r>
    </w:p>
    <w:p>
      <w:pPr>
        <w:spacing w:after="240" w:before="480"/>
      </w:pPr>
      <w:r>
        <w:rPr>
          <w:rFonts w:ascii="Arial" w:cs="Arial" w:eastAsia="Arial" w:hAnsi="Arial"/>
          <w:b/>
          <w:bCs/>
          <w:color w:val="1F4E78"/>
          <w:sz w:val="36"/>
          <w:szCs w:val="36"/>
        </w:rPr>
        <w:t>Military retirees number approximately 2.1 million. Their retirement income typically includes military pension (calculated as a percentage of base pay times years of service), Social Security (most have qualifying earnings from military service and often from post-military civilian employment), and possibly TSP withdrawals (for those under the Blended Retirement System). Many also receive VA (Department of Veterans Affairs) disability compensation, which is not retirement income but functions similarly as ongoing federal income. Military retirees' total income often combines several federal income streams in a relatively complex way.</w:t>
      </w:r>
    </w:p>
    <w:p>
      <w:pPr>
        <w:spacing w:after="240" w:line="340"/>
        <w:jc w:val="both"/>
      </w:pPr>
      <w:r>
        <w:rPr>
          <w:rFonts w:ascii="Georgia" w:cs="Georgia" w:eastAsia="Georgia" w:hAnsi="Georgia"/>
          <w:color w:val="1A1A1A"/>
          <w:sz w:val="24"/>
          <w:szCs w:val="24"/>
        </w:rPr>
        <w:t>Under the platform, military retirees' pension payments continue unchanged. Military pensions are vested rights protected as such. Social Security continues seamlessly through the Community Contribution Plan transition. VA disability compensation is unchanged. TRICARE for Life provides healthcare coverage for retirees age 65 and over (working alongside Medicare); TRICARE Standard, TRICARE Prime, and TRICARE Reserve Select cover younger retirees and dependents. Under the public-sector worker transitions analysis, TRICARE continues as DoD-administered enhanced coverage layered atop universal healthcare.</w:t>
      </w:r>
    </w:p>
    <w:p>
      <w:pPr>
        <w:spacing w:after="240" w:line="340"/>
        <w:jc w:val="both"/>
      </w:pPr>
      <w:r>
        <w:rPr>
          <w:rFonts w:ascii="Georgia" w:cs="Georgia" w:eastAsia="Georgia" w:hAnsi="Georgia"/>
          <w:color w:val="1A1A1A"/>
          <w:sz w:val="24"/>
          <w:szCs w:val="24"/>
        </w:rPr>
        <w:t>Military retirees do not pay the universal healthcare contribution on pension income or VA disability compensation. They receive universal healthcare coverage through the platform's general funding architecture. Their TRICARE coverage continues at existing levels.</w:t>
      </w:r>
    </w:p>
    <w:p>
      <w:pPr>
        <w:pStyle w:val="Heading1"/>
        <w:spacing w:after="240" w:before="480"/>
      </w:pPr>
      <w:r>
        <w:rPr>
          <w:rFonts w:ascii="Arial" w:cs="Arial" w:eastAsia="Arial" w:hAnsi="Arial"/>
          <w:b/>
          <w:bCs/>
          <w:color w:val="1F4E78"/>
          <w:sz w:val="36"/>
          <w:szCs w:val="36"/>
        </w:rPr>
        <w:t>State and Local Government Retirees</w:t>
      </w:r>
    </w:p>
    <w:p>
      <w:pPr>
        <w:spacing w:after="240" w:line="340"/>
        <w:jc w:val="both"/>
      </w:pPr>
      <w:r>
        <w:rPr>
          <w:rFonts w:ascii="Georgia" w:cs="Georgia" w:eastAsia="Georgia" w:hAnsi="Georgia"/>
          <w:color w:val="1A1A1A"/>
          <w:sz w:val="24"/>
          <w:szCs w:val="24"/>
        </w:rPr>
        <w:t>State and local government retirees number approximately 11 million. Their retirement income comes primarily from state pension systems, with substantial variation across states. Some states (those that participate in Social Security through Section 218 agreements for their public employees) integrate state pensions with Social Security, treating Social Security as part of total retirement income calculation. Other states (with non-covered public employees) provide pensions designed to be the primary or sole retirement income source for retirees from those positions.</w:t>
      </w:r>
    </w:p>
    <w:p>
      <w:pPr>
        <w:spacing w:after="160" w:before="360"/>
      </w:pPr>
      <w:r>
        <w:rPr>
          <w:rFonts w:ascii="Arial" w:cs="Arial" w:eastAsia="Arial" w:hAnsi="Arial"/>
          <w:b/>
          <w:bCs/>
          <w:color w:val="1F4E78"/>
          <w:sz w:val="28"/>
          <w:szCs w:val="28"/>
        </w:rPr>
        <w:t>Under the platform, state pension benefits continue unchanged as vested rights. The platform does not directly affect state pension funding, although the Sovereign Fund's growth may indirectly relieve pressure on state fiscal positions over time. State employees who participate in Social Security continue to receive Social Security benefits through the Community Contribution Plan transition; state pensioners who do not participate (Section 218 non-covered cases) are unaffected by the FICA-to-CCP (Community Contribution Plan) transition.</w:t>
      </w:r>
    </w:p>
    <w:p>
      <w:pPr>
        <w:spacing w:after="240" w:line="340"/>
        <w:jc w:val="both"/>
      </w:pPr>
      <w:r>
        <w:rPr>
          <w:rFonts w:ascii="Georgia" w:cs="Georgia" w:eastAsia="Georgia" w:hAnsi="Georgia"/>
          <w:color w:val="1A1A1A"/>
          <w:sz w:val="24"/>
          <w:szCs w:val="24"/>
        </w:rPr>
        <w:t>State pensioners' healthcare coverage varies. Some states provide retiree health benefits (often subject to budget pressure and benefit cuts in fiscal stress); some do not. The platform's universal healthcare provides a baseline that supersedes the absence-of-coverage cases and supplements limited-coverage cases. State retirees who are Medicare-eligible (most over 65) use Medicare as primary with state retiree benefits or universal healthcare as supplemental as appropriate.</w:t>
      </w:r>
    </w:p>
    <w:p>
      <w:pPr>
        <w:spacing w:after="240" w:line="340"/>
        <w:jc w:val="both"/>
      </w:pPr>
      <w:r>
        <w:rPr>
          <w:rFonts w:ascii="Georgia" w:cs="Georgia" w:eastAsia="Georgia" w:hAnsi="Georgia"/>
          <w:color w:val="1A1A1A"/>
          <w:sz w:val="24"/>
          <w:szCs w:val="24"/>
        </w:rPr>
        <w:t>The Section 218 issue affects state and local government retirees who were non-covered during their working years. They do not have Social Security retirement benefits from that employment (though may have them from other employment). Their state pension is their primary retirement income from public employment. The platform does not affect this structure; state pension benefits continue unchanged. Universal healthcare coverage applies to them like any other retiree, funded through the platform's general architecture rather than through their pension.</w:t>
      </w:r>
    </w:p>
    <w:p>
      <w:pPr>
        <w:pStyle w:val="Heading2"/>
        <w:spacing w:after="160" w:before="360"/>
      </w:pPr>
      <w:r>
        <w:rPr>
          <w:rFonts w:ascii="Arial" w:cs="Arial" w:eastAsia="Arial" w:hAnsi="Arial"/>
          <w:b/>
          <w:bCs/>
          <w:color w:val="1F4E78"/>
          <w:sz w:val="28"/>
          <w:szCs w:val="28"/>
        </w:rPr>
        <w:t>Private Defined Benefit Pension Recipients</w:t>
      </w:r>
    </w:p>
    <w:p>
      <w:pPr>
        <w:spacing w:after="240" w:line="340"/>
        <w:jc w:val="both"/>
      </w:pPr>
      <w:r>
        <w:rPr>
          <w:rFonts w:ascii="Georgia" w:cs="Georgia" w:eastAsia="Georgia" w:hAnsi="Georgia"/>
          <w:color w:val="1A1A1A"/>
          <w:sz w:val="24"/>
          <w:szCs w:val="24"/>
        </w:rPr>
        <w:t>Approximately 10 million Americans receive payments from private defined benefit pension plans, mostly from plans sponsored by large legacy employers (auto manufacturers, airlines, large industrial firms) and labor unions. The number is declining as private DB plans have largely been replaced by 401(k)-style defined contribution plans for new employees. The Pension Benefit Guaranty Corporation (PBGC) backstops most private DB plans; PBGC currently has substantial unfunded obligations and is itself a federal fiscal concern.</w:t>
      </w:r>
    </w:p>
    <w:p>
      <w:pPr>
        <w:spacing w:after="160" w:before="360"/>
      </w:pPr>
      <w:r>
        <w:rPr>
          <w:rFonts w:ascii="Arial" w:cs="Arial" w:eastAsia="Arial" w:hAnsi="Arial"/>
          <w:b/>
          <w:bCs/>
          <w:color w:val="1F4E78"/>
          <w:sz w:val="28"/>
          <w:szCs w:val="28"/>
        </w:rPr>
        <w:t>Under the platform, private DB pension payments continue at existing levels. The platform does not directly affect private pension obligations. The Sovereign Fund and the platform's broader fiscal architecture do not extend to private pension support beyond what PBGC already provides. Private pensioners receive universal healthcare through the platform's general architecture, like all other Americans, regardless of the financial state of their pension plan.</w:t>
      </w:r>
    </w:p>
    <w:p>
      <w:pPr>
        <w:spacing w:after="240" w:line="340"/>
        <w:jc w:val="both"/>
      </w:pPr>
      <w:r>
        <w:rPr>
          <w:rFonts w:ascii="Georgia" w:cs="Georgia" w:eastAsia="Georgia" w:hAnsi="Georgia"/>
          <w:color w:val="1A1A1A"/>
          <w:sz w:val="24"/>
          <w:szCs w:val="24"/>
        </w:rPr>
        <w:t>Multi-employer pension plans, which serve many union-represented workers and have particular financial challenges, are addressed by the federal Multi-employer Pension Reform Act and the American Rescue Plan Act's Special Financial Assistance program. These existing federal interventions continue under the platform; the platform does not extend or restrict them. This is an area where the platform's broader fiscal architecture (the Sovereign Fund) may eventually create capacity for additional federal action, but that is not currently part of the platform's commitments.</w:t>
      </w:r>
    </w:p>
    <w:p>
      <w:pPr>
        <w:pStyle w:val="Heading1"/>
        <w:spacing w:after="240" w:before="480"/>
      </w:pPr>
      <w:r>
        <w:rPr>
          <w:rFonts w:ascii="Arial" w:cs="Arial" w:eastAsia="Arial" w:hAnsi="Arial"/>
          <w:b/>
          <w:bCs/>
          <w:color w:val="1F4E78"/>
          <w:sz w:val="36"/>
          <w:szCs w:val="36"/>
        </w:rPr>
        <w:t>The Early-Retiree Gap</w:t>
      </w:r>
    </w:p>
    <w:p>
      <w:pPr>
        <w:spacing w:after="240" w:line="340"/>
        <w:jc w:val="both"/>
      </w:pPr>
      <w:r>
        <w:rPr>
          <w:rFonts w:ascii="Georgia" w:cs="Georgia" w:eastAsia="Georgia" w:hAnsi="Georgia"/>
          <w:color w:val="1A1A1A"/>
          <w:sz w:val="24"/>
          <w:szCs w:val="24"/>
        </w:rPr>
        <w:t>Most pensioners are 65 or older, which means they are Medicare-eligible. The platform's universal healthcare absorbs Medicare's payroll-funded structure and continues coverage seamlessly for this majority. But not all pensioners are Medicare-eligible. Several categories of early retirees create a coverage question that the platform must address.</w:t>
      </w:r>
    </w:p>
    <w:p>
      <w:pPr>
        <w:spacing w:after="240" w:line="340"/>
        <w:jc w:val="both"/>
      </w:pPr>
      <w:r>
        <w:rPr>
          <w:rFonts w:ascii="Georgia" w:cs="Georgia" w:eastAsia="Georgia" w:hAnsi="Georgia"/>
          <w:color w:val="1A1A1A"/>
          <w:sz w:val="24"/>
          <w:szCs w:val="24"/>
        </w:rPr>
        <w:t>Federal civilian employees can retire under FERS as early as age 57 with 30 years of service (Minimum Retirement Age plus 30). Military service members can retire after 20 years of service, often in their early 40s or 50s. State and local government employees can retire under varying rules, often as early as age 50 in police, fire, and corrections positions. Private DB plan rules vary, with some allowing early retirement with reduced benefits at 55 or 60. Total early retirees (under 65, receiving pension benefits) number perhaps 10 million.</w:t>
      </w:r>
    </w:p>
    <w:p>
      <w:pPr>
        <w:spacing w:after="240" w:line="340"/>
        <w:jc w:val="both"/>
      </w:pPr>
      <w:r>
        <w:rPr>
          <w:rFonts w:ascii="Georgia" w:cs="Georgia" w:eastAsia="Georgia" w:hAnsi="Georgia"/>
          <w:color w:val="1A1A1A"/>
          <w:sz w:val="24"/>
          <w:szCs w:val="24"/>
        </w:rPr>
        <w:t>Under the current system, early retirees from federal civilian service can continue FEHB coverage. Military early retirees have TRICARE. State and local government early retirees may have employer retiree benefits or may need to maintain private health insurance until Medicare eligibility. Private DB recipients typically need private insurance during the gap years. This creates substantial financial stress for early retirees who lack employer-provided retiree health benefits.</w:t>
      </w:r>
    </w:p>
    <w:p>
      <w:pPr>
        <w:spacing w:after="240" w:before="480"/>
      </w:pPr>
      <w:r>
        <w:rPr>
          <w:rFonts w:ascii="Arial" w:cs="Arial" w:eastAsia="Arial" w:hAnsi="Arial"/>
          <w:b/>
          <w:bCs/>
          <w:color w:val="1F4E78"/>
          <w:sz w:val="36"/>
          <w:szCs w:val="36"/>
        </w:rPr>
        <w:t>The platform's universal healthcare addresses this gap. Early retirees who are not Medicare-eligible receive universal healthcare coverage through the platform's general architecture. They do not need to maintain private insurance during the gap years. They do not pay the universal healthcare contribution on pension income (since pension is not labor income). Their access to universal coverage is automatic through default-in enrollment at retirement, without requiring active application or demonstration of need.</w:t>
      </w:r>
    </w:p>
    <w:p>
      <w:pPr>
        <w:spacing w:after="240" w:line="340"/>
        <w:jc w:val="both"/>
      </w:pPr>
      <w:r>
        <w:rPr>
          <w:rFonts w:ascii="Georgia" w:cs="Georgia" w:eastAsia="Georgia" w:hAnsi="Georgia"/>
          <w:color w:val="1A1A1A"/>
          <w:sz w:val="24"/>
          <w:szCs w:val="24"/>
        </w:rPr>
        <w:t>This is one of the platform's most directly beneficial features for early retirees. The current system's gap between employer-provided coverage and Medicare creates significant financial planning challenges; the platform's universal coverage eliminates this concern. Early retirees who took early retirement under current rules expecting to pay for private insurance until Medicare can now expect platform coverage instead. This is a substantial windfall that should be explicitly communicated; many early retirees will not realize the platform addresses their specific concern unless told directly.</w:t>
      </w:r>
    </w:p>
    <w:p>
      <w:pPr>
        <w:pStyle w:val="Heading1"/>
        <w:spacing w:after="240" w:line="340"/>
        <w:jc w:val="both"/>
      </w:pPr>
      <w:r>
        <w:rPr>
          <w:rFonts w:ascii="Georgia" w:cs="Georgia" w:eastAsia="Georgia" w:hAnsi="Georgia"/>
          <w:color w:val="1A1A1A"/>
          <w:sz w:val="24"/>
          <w:szCs w:val="24"/>
        </w:rPr>
        <w:t>Cost-of-Living Adjustments and Inflation</w:t>
      </w:r>
    </w:p>
    <w:p>
      <w:pPr>
        <w:spacing w:after="240" w:before="480"/>
      </w:pPr>
      <w:r>
        <w:rPr>
          <w:rFonts w:ascii="Arial" w:cs="Arial" w:eastAsia="Arial" w:hAnsi="Arial"/>
          <w:b/>
          <w:bCs/>
          <w:color w:val="1F4E78"/>
          <w:sz w:val="36"/>
          <w:szCs w:val="36"/>
        </w:rPr>
        <w:t>Most pension systems include cost-of-living adjustments to maintain purchasing power as inflation rises. Social Security uses the Consumer Price Index for Urban Wage Earners and Clerical Workers (CPI-W) to calculate annual adjustments. CSRS uses CPI-based adjustments. FERS uses a more conservative formula (CPI for inflation up to 2 percent; CPI minus 1 percent for inflation between 2 and 3 percent; capped at 2 percent for higher inflation). Military retirement uses CPI. State pension systems use various formulas, some using inflation-linked adjustments and some using fixed annual percentage increases.</w:t>
      </w:r>
    </w:p>
    <w:p>
      <w:pPr>
        <w:spacing w:after="160" w:before="360"/>
      </w:pPr>
      <w:r>
        <w:rPr>
          <w:rFonts w:ascii="Arial" w:cs="Arial" w:eastAsia="Arial" w:hAnsi="Arial"/>
          <w:b/>
          <w:bCs/>
          <w:color w:val="1F4E78"/>
          <w:sz w:val="28"/>
          <w:szCs w:val="28"/>
        </w:rPr>
        <w:t>The platform's broader inflation assumptions interact with these COLA mechanisms. The platform's per-household savings figures are presented in nominal dollars based on current price levels; the cumulative-savings figures use inflation-adjusted scenarios. Pensioners' COLAs follow current rules unchanged; the platform does not modify how pension benefits adjust for inflation.</w:t>
      </w:r>
    </w:p>
    <w:p>
      <w:pPr>
        <w:spacing w:after="240" w:line="340"/>
        <w:jc w:val="both"/>
      </w:pPr>
      <w:r>
        <w:rPr>
          <w:rFonts w:ascii="Georgia" w:cs="Georgia" w:eastAsia="Georgia" w:hAnsi="Georgia"/>
          <w:color w:val="1A1A1A"/>
          <w:sz w:val="24"/>
          <w:szCs w:val="24"/>
        </w:rPr>
        <w:t>However, the platform's universal healthcare creates a specific inflation-related benefit for pensioners. Healthcare cost inflation has historically run substantially higher than general CPI, eroding pensioners' purchasing power even with full COLA protection. The platform's universal healthcare insulates pensioners from out-of-pocket healthcare cost increases; their fixed pension income no longer needs to absorb rising premiums and out-of-pocket medical costs. This is a real benefit that should be quantified in subsequent analytical work. The Federal Fiscal Impact Analysis addresses healthcare cost trajectory at the federal level; an analogous per-household analysis for pensioners specifically would clarify the value of universal healthcare for this population.</w:t>
      </w:r>
    </w:p>
    <w:p>
      <w:pPr>
        <w:pStyle w:val="Heading2"/>
        <w:spacing w:after="160" w:before="360"/>
      </w:pPr>
      <w:r>
        <w:rPr>
          <w:rFonts w:ascii="Arial" w:cs="Arial" w:eastAsia="Arial" w:hAnsi="Arial"/>
          <w:b/>
          <w:bCs/>
          <w:color w:val="1F4E78"/>
          <w:sz w:val="28"/>
          <w:szCs w:val="28"/>
        </w:rPr>
        <w:t>Federal Income Tax Treatment of Retirement Income</w:t>
      </w:r>
    </w:p>
    <w:p>
      <w:pPr>
        <w:spacing w:after="240" w:line="340"/>
        <w:jc w:val="both"/>
      </w:pPr>
      <w:r>
        <w:rPr>
          <w:rFonts w:ascii="Georgia" w:cs="Georgia" w:eastAsia="Georgia" w:hAnsi="Georgia"/>
          <w:color w:val="1A1A1A"/>
          <w:sz w:val="24"/>
          <w:szCs w:val="24"/>
        </w:rPr>
        <w:t>Most retirement income is subject to federal income tax. Social Security benefits are partially taxed for higher-income recipients (up to 85 percent of benefits taxable at moderate-to-high income levels, with full thresholds set by 1983 and 1993 statutory levels that have not been adjusted for inflation). Federal civilian and military pensions are fully taxable. Most state and local government pensions are fully taxable for federal purposes (state-tax treatment varies). Private DB pension distributions are fully taxable. Traditional 401(k) and IRA (Individual Retirement Account) distributions are fully taxable. Roth IRA and Roth 401(k) distributions are not federally taxed. Tax-deferred annuities are taxed on distribution.</w:t>
      </w:r>
    </w:p>
    <w:p>
      <w:pPr>
        <w:spacing w:after="160" w:before="360"/>
      </w:pPr>
      <w:r>
        <w:rPr>
          <w:rFonts w:ascii="Arial" w:cs="Arial" w:eastAsia="Arial" w:hAnsi="Arial"/>
          <w:b/>
          <w:bCs/>
          <w:color w:val="1F4E78"/>
          <w:sz w:val="28"/>
          <w:szCs w:val="28"/>
        </w:rPr>
        <w:t>Under the platform, the wage floor exemption replaces the standard deduction in the federal income tax architecture. Pensioners file federal income tax with the wage floor exemption applied to their taxable retirement income. The exemption value depends on the platform's specific design choice for non-working filers: should the exemption value default to the household's most-recent occupation's wage floor (preserving the working-life floor in retirement)? Or should it default to a generic retiree exemption value that reflects retiree income patterns rather than working-occupation BLS (Bureau of Labor Statistics) data? Or should pensioners simply use the standard deduction (which the platform preserves as an alternative methodology)?</w:t>
      </w:r>
    </w:p>
    <w:p>
      <w:pPr>
        <w:spacing w:after="240" w:line="340"/>
        <w:jc w:val="both"/>
      </w:pPr>
      <w:r>
        <w:rPr>
          <w:rFonts w:ascii="Georgia" w:cs="Georgia" w:eastAsia="Georgia" w:hAnsi="Georgia"/>
          <w:color w:val="1A1A1A"/>
          <w:sz w:val="24"/>
          <w:szCs w:val="24"/>
        </w:rPr>
        <w:t>The platform's implicit design (based on the existing analytical documents) appears to be: pensioners can choose the wage floor exemption based on their working-life occupation (which becomes a one-time choice at retirement) or the standard deduction methodology. This preserves household autonomy and aligns with the platform's broader principle of preserving choice in tax methodology. Pensioners whose working life was in a low-wage-floor occupation may prefer the standard deduction; those whose working life was in a high-wage-floor occupation will benefit substantially from carrying that floor into retirement.</w:t>
      </w:r>
    </w:p>
    <w:p>
      <w:pPr>
        <w:spacing w:after="160" w:before="360"/>
      </w:pPr>
      <w:r>
        <w:rPr>
          <w:rFonts w:ascii="Arial" w:cs="Arial" w:eastAsia="Arial" w:hAnsi="Arial"/>
          <w:b/>
          <w:bCs/>
          <w:color w:val="1F4E78"/>
          <w:sz w:val="28"/>
          <w:szCs w:val="28"/>
        </w:rPr>
        <w:t>The Social Security taxation thresholds (set in 1983 and 1993 statute) have not been adjusted for inflation, which means progressively more Social Security recipients have benefits subject to federal income tax over time. The platform does not modify Social Security taxation directly, but the wage floor exemption combined with the standard architecture provides effective protection against income tax exposure for most Social Security recipients. Whether the platform should specifically address Social Security taxation thresholds is an open question; the simpler answer is that the wage floor architecture's higher exemption value means most Social Security recipients face lower effective income tax than under current rules even with unchanged Social Security taxation thresholds.</w:t>
      </w:r>
    </w:p>
    <w:p>
      <w:pPr>
        <w:pStyle w:val="Heading1"/>
        <w:spacing w:after="240" w:line="340"/>
        <w:jc w:val="both"/>
      </w:pPr>
      <w:r>
        <w:rPr>
          <w:rFonts w:ascii="Georgia" w:cs="Georgia" w:eastAsia="Georgia" w:hAnsi="Georgia"/>
          <w:color w:val="1A1A1A"/>
          <w:sz w:val="24"/>
          <w:szCs w:val="24"/>
        </w:rPr>
        <w:t>Spouses and Survivors</w:t>
      </w:r>
    </w:p>
    <w:p>
      <w:pPr>
        <w:spacing w:after="160" w:before="360"/>
      </w:pPr>
      <w:r>
        <w:rPr>
          <w:rFonts w:ascii="Arial" w:cs="Arial" w:eastAsia="Arial" w:hAnsi="Arial"/>
          <w:b/>
          <w:bCs/>
          <w:color w:val="1F4E78"/>
          <w:sz w:val="28"/>
          <w:szCs w:val="28"/>
        </w:rPr>
        <w:t>Pensioners' spouses and survivors require explicit treatment. Most pension systems include survivor benefit options (varying percentages of the deceased pensioner's benefit, often selected at retirement with a corresponding reduction in the working pensioner's payment). Social Security pays survivor benefits to widows and widowers age 60 and over (50 if disabled), and to younger surviving parents with eligible dependent children. The platform's universal healthcare and other commitments cover spouses and survivors regardless of pension status; their access is per-individual, not per-household. A pensioner's surviving spouse continues to receive universal healthcare coverage and other universal benefits regardless of pension survivorship arrangements.</w:t>
      </w:r>
    </w:p>
    <w:p>
      <w:pPr>
        <w:spacing w:after="240" w:line="340"/>
        <w:jc w:val="both"/>
      </w:pPr>
      <w:r>
        <w:rPr>
          <w:rFonts w:ascii="Georgia" w:cs="Georgia" w:eastAsia="Georgia" w:hAnsi="Georgia"/>
          <w:color w:val="1A1A1A"/>
          <w:sz w:val="24"/>
          <w:szCs w:val="24"/>
        </w:rPr>
        <w:t>Younger spouses of pensioners who are not Medicare-eligible are a specific case worth noting. A retiree at 65 whose spouse is 55, for example, has a Medicare-eligible primary and a non-Medicare-eligible spouse. Under current rules, the spouse may need private insurance until reaching 65. Under the platform, the spouse has universal healthcare coverage automatically. This is another area where the platform's per-individual coverage is materially better than the current employer-and-Medicare-based system.</w:t>
      </w:r>
    </w:p>
    <w:p>
      <w:pPr>
        <w:pStyle w:val="Heading1"/>
        <w:spacing w:after="240" w:before="480"/>
      </w:pPr>
      <w:r>
        <w:rPr>
          <w:rFonts w:ascii="Arial" w:cs="Arial" w:eastAsia="Arial" w:hAnsi="Arial"/>
          <w:b/>
          <w:bCs/>
          <w:color w:val="1F4E78"/>
          <w:sz w:val="36"/>
          <w:szCs w:val="36"/>
        </w:rPr>
        <w:t>Failure Modes</w:t>
      </w:r>
    </w:p>
    <w:p>
      <w:pPr>
        <w:pStyle w:val="Heading2"/>
        <w:spacing w:after="240" w:line="340"/>
        <w:jc w:val="both"/>
      </w:pPr>
      <w:r>
        <w:rPr>
          <w:rFonts w:ascii="Georgia" w:cs="Georgia" w:eastAsia="Georgia" w:hAnsi="Georgia"/>
          <w:color w:val="1A1A1A"/>
          <w:sz w:val="24"/>
          <w:szCs w:val="24"/>
        </w:rPr>
        <w:t>The Anxiety and Misinformation Failure Mode</w:t>
      </w:r>
    </w:p>
    <w:p>
      <w:pPr>
        <w:spacing w:after="240" w:line="340"/>
        <w:jc w:val="both"/>
      </w:pPr>
      <w:r>
        <w:rPr>
          <w:rFonts w:ascii="Georgia" w:cs="Georgia" w:eastAsia="Georgia" w:hAnsi="Georgia"/>
          <w:color w:val="1A1A1A"/>
          <w:sz w:val="24"/>
          <w:szCs w:val="24"/>
        </w:rPr>
        <w:t>Current pensioners are particularly susceptible to anxiety about platform-driven changes to retirement systems. Adversaries can frame the platform's Community Contribution Plan transition as 'changes to Social Security' even though the change is revenue-neutral and does not affect benefits. Pensioners' political organization (American Association of Retired Persons (AARP), retired federal employees groups, military retiree associations) can amplify these concerns substantially. The platform's communication infrastructure must address pensioner-specific concerns directly, with messaging that emphasizes vested rights protection, benefit continuity, and the platform's specific advantages for pensioners (universal healthcare, lower out-of-pocket medical costs, the early-retiree gap solution). This communication has not been developed.</w:t>
      </w:r>
    </w:p>
    <w:p>
      <w:pPr>
        <w:pStyle w:val="Heading2"/>
        <w:spacing w:after="160" w:before="360"/>
      </w:pPr>
      <w:r>
        <w:rPr>
          <w:rFonts w:ascii="Arial" w:cs="Arial" w:eastAsia="Arial" w:hAnsi="Arial"/>
          <w:b/>
          <w:bCs/>
          <w:color w:val="1F4E78"/>
          <w:sz w:val="28"/>
          <w:szCs w:val="28"/>
        </w:rPr>
        <w:t>The Vested Rights Litigation Failure Mode</w:t>
      </w:r>
    </w:p>
    <w:p>
      <w:pPr>
        <w:spacing w:after="240" w:line="340"/>
        <w:jc w:val="both"/>
      </w:pPr>
      <w:r>
        <w:rPr>
          <w:rFonts w:ascii="Georgia" w:cs="Georgia" w:eastAsia="Georgia" w:hAnsi="Georgia"/>
          <w:color w:val="1A1A1A"/>
          <w:sz w:val="24"/>
          <w:szCs w:val="24"/>
        </w:rPr>
        <w:t>If the platform's enabling legislation is drafted in ways that could be construed as affecting accrued pension benefits, vested rights litigation will follow. Pensioner organizations have substantial litigation capacity. Specific statutory drafting that explicitly preserves all accrued pension benefits is required to forestall this failure mode. As with the public-sector worker transitions document, this requires legal review before deployment.</w:t>
      </w:r>
    </w:p>
    <w:p>
      <w:pPr>
        <w:pStyle w:val="Heading2"/>
        <w:spacing w:after="160" w:before="360"/>
      </w:pPr>
      <w:r>
        <w:rPr>
          <w:rFonts w:ascii="Arial" w:cs="Arial" w:eastAsia="Arial" w:hAnsi="Arial"/>
          <w:b/>
          <w:bCs/>
          <w:color w:val="1F4E78"/>
          <w:sz w:val="28"/>
          <w:szCs w:val="28"/>
        </w:rPr>
        <w:t>The Survivor Benefit Coordination Failure Mode</w:t>
      </w:r>
    </w:p>
    <w:p>
      <w:pPr>
        <w:spacing w:after="240" w:line="340"/>
        <w:jc w:val="both"/>
      </w:pPr>
      <w:r>
        <w:rPr>
          <w:rFonts w:ascii="Georgia" w:cs="Georgia" w:eastAsia="Georgia" w:hAnsi="Georgia"/>
          <w:color w:val="1A1A1A"/>
          <w:sz w:val="24"/>
          <w:szCs w:val="24"/>
        </w:rPr>
        <w:t>Pension survivor benefit elections made under current rules may not optimally coordinate with the platform's universal healthcare and per-individual benefits structure. Retirees who selected lower survivor benefit percentages because their spouses had separate health coverage may have made suboptimal choices given the platform's universal coverage. Whether the platform should provide an opportunity to revise survivor elections in light of universal coverage is a design question; current pension administration does not generally allow such revision. The simplest answer is no revision opportunity (survivor elections are made at retirement based on then-current circumstances), but acknowledging the issue is appropriate.</w:t>
      </w:r>
    </w:p>
    <w:p>
      <w:pPr>
        <w:pStyle w:val="Heading2"/>
        <w:spacing w:after="160" w:before="360"/>
      </w:pPr>
      <w:r>
        <w:rPr>
          <w:rFonts w:ascii="Arial" w:cs="Arial" w:eastAsia="Arial" w:hAnsi="Arial"/>
          <w:b/>
          <w:bCs/>
          <w:color w:val="1F4E78"/>
          <w:sz w:val="28"/>
          <w:szCs w:val="28"/>
        </w:rPr>
        <w:t>The State Pension Fiscal Stress Failure Mode</w:t>
      </w:r>
    </w:p>
    <w:p>
      <w:pPr>
        <w:spacing w:after="240" w:line="340"/>
        <w:jc w:val="both"/>
      </w:pPr>
      <w:r>
        <w:rPr>
          <w:rFonts w:ascii="Georgia" w:cs="Georgia" w:eastAsia="Georgia" w:hAnsi="Georgia"/>
          <w:color w:val="1A1A1A"/>
          <w:sz w:val="24"/>
          <w:szCs w:val="24"/>
        </w:rPr>
        <w:t>The platform does not solve state pension underfunding, but the platform's communication around state pension preservation needs to be careful. If the platform's communication implies federal protection of state pension benefits beyond what the platform actually provides, state pensioners may be misled about platform commitments. The platform protects vested rights against platform-driven modification but does not protect against state-level changes (which states can make subject to their own constitutional constraints). Clear communication about the limits of platform protection for state pensions is required.</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How does the wage floor exemption apply to pensioners after retirement? Should the exemption default to the working-life occupation's floor, a generic retiree value, or the standard deduction? The platform's design implicitly preserves choice but should specify the default and the mechanics of changing methodology in retirement.</w:t>
      </w:r>
    </w:p>
    <w:p>
      <w:pPr>
        <w:spacing w:after="240" w:line="340"/>
        <w:jc w:val="both"/>
      </w:pPr>
      <w:r>
        <w:rPr>
          <w:rFonts w:ascii="Georgia" w:cs="Georgia" w:eastAsia="Georgia" w:hAnsi="Georgia"/>
          <w:color w:val="1A1A1A"/>
          <w:sz w:val="24"/>
          <w:szCs w:val="24"/>
        </w:rPr>
        <w:t>Should the platform address the Social Security taxation thresholds (set in 1983 and 1993 statute, unindexed for inflation)? Most Social Security recipients pay federal income tax on a substantial portion of benefits because the thresholds have eroded over time. The platform's wage floor exemption provides indirect protection but does not directly address the threshold issue.</w:t>
      </w:r>
    </w:p>
    <w:p>
      <w:pPr>
        <w:spacing w:after="240" w:line="340"/>
        <w:jc w:val="both"/>
      </w:pPr>
      <w:r>
        <w:rPr>
          <w:rFonts w:ascii="Georgia" w:cs="Georgia" w:eastAsia="Georgia" w:hAnsi="Georgia"/>
          <w:color w:val="1A1A1A"/>
          <w:sz w:val="24"/>
          <w:szCs w:val="24"/>
        </w:rPr>
        <w:t>How does the platform's per-household savings analysis apply to pensioner households? The citizen-facing comparison documents (DTRT and WTM4Y) and the calculator focus on working households. A pensioner-specific comparison analysis would help pensioners evaluate the platform's effect on their situation.</w:t>
      </w:r>
    </w:p>
    <w:p>
      <w:pPr>
        <w:spacing w:after="240" w:line="340"/>
        <w:jc w:val="both"/>
      </w:pPr>
      <w:r>
        <w:rPr>
          <w:rFonts w:ascii="Georgia" w:cs="Georgia" w:eastAsia="Georgia" w:hAnsi="Georgia"/>
          <w:color w:val="1A1A1A"/>
          <w:sz w:val="24"/>
          <w:szCs w:val="24"/>
        </w:rPr>
        <w:t>How does the platform handle pension recipients living abroad? Approximately 700,000 Social Security recipients live outside the United States. Their treatment under the platform's universal healthcare and other commitments is unspecified.</w:t>
      </w:r>
    </w:p>
    <w:p>
      <w:pPr>
        <w:spacing w:after="240" w:line="340"/>
        <w:jc w:val="both"/>
      </w:pPr>
      <w:r>
        <w:rPr>
          <w:rFonts w:ascii="Georgia" w:cs="Georgia" w:eastAsia="Georgia" w:hAnsi="Georgia"/>
          <w:color w:val="1A1A1A"/>
          <w:sz w:val="24"/>
          <w:szCs w:val="24"/>
        </w:rPr>
        <w:t>What is the platform's specific position on multi-employer pension plan support? PBGC's Special Financial Assistance program continues, but the platform's broader fiscal architecture creates capacity for additional federal action that may be politically attractive.</w:t>
      </w:r>
    </w:p>
    <w:p>
      <w:pPr>
        <w:spacing w:after="240" w:line="340"/>
        <w:jc w:val="both"/>
      </w:pPr>
      <w:r>
        <w:rPr>
          <w:rFonts w:ascii="Georgia" w:cs="Georgia" w:eastAsia="Georgia" w:hAnsi="Georgia"/>
          <w:color w:val="1A1A1A"/>
          <w:sz w:val="24"/>
          <w:szCs w:val="24"/>
        </w:rPr>
        <w:t>How does the platform interact with private long-term care insurance? Long-term care is acknowledged as an unaddressed gap in the Federal Program Integration Plan. Pensioners are the population most affected by long-term care costs. The platform's silence on long-term care is most consequential for pensioners.</w:t>
      </w:r>
    </w:p>
    <w:p>
      <w:pPr>
        <w:spacing w:after="240" w:line="340"/>
        <w:jc w:val="both"/>
      </w:pPr>
      <w:r>
        <w:rPr>
          <w:rFonts w:ascii="Georgia" w:cs="Georgia" w:eastAsia="Georgia" w:hAnsi="Georgia"/>
          <w:color w:val="1A1A1A"/>
          <w:sz w:val="24"/>
          <w:szCs w:val="24"/>
        </w:rPr>
        <w:t>Should pensioners have an opportunity to revise survivor benefit elections in light of universal healthcare? This is administratively complex but might be appropriate given the substantive change in the spouse-coverage situation.</w:t>
      </w:r>
    </w:p>
    <w:p>
      <w:pPr>
        <w:spacing w:after="240" w:line="340"/>
        <w:jc w:val="both"/>
      </w:pPr>
      <w:r>
        <w:rPr>
          <w:rFonts w:ascii="Georgia" w:cs="Georgia" w:eastAsia="Georgia" w:hAnsi="Georgia"/>
          <w:color w:val="1A1A1A"/>
          <w:sz w:val="24"/>
          <w:szCs w:val="24"/>
        </w:rPr>
        <w:t>How does the platform handle special pension categories like railroad retirement (administered by the Railroad Retirement Board, separate from Social Security)? Railroad retirement covers approximately 500,000 retirees under a pre-Social Security federal retirement system that continues to operate.</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Existing pensioners are a population the platform should treat with explicit care. They are not the platform's primary beneficiary group (the platform's wage floor architecture and universal benefits do most for working households), but they are a substantial population with high political engagement and existential dependence on retirement income systems. The platform's design treatment of pensioners is largely about preservation: existing benefits continue unchanged as vested rights; existing healthcare arrangements (Medicare, FEHB, TRICARE, state retiree benefits) continue with universal healthcare integration; existing tax treatment continues with the wage floor exemption available as alternative methodology.</w:t>
      </w:r>
    </w:p>
    <w:p>
      <w:pPr>
        <w:spacing w:after="240" w:line="340"/>
        <w:jc w:val="both"/>
      </w:pPr>
      <w:r>
        <w:rPr>
          <w:rFonts w:ascii="Georgia" w:cs="Georgia" w:eastAsia="Georgia" w:hAnsi="Georgia"/>
          <w:color w:val="1A1A1A"/>
          <w:sz w:val="24"/>
          <w:szCs w:val="24"/>
        </w:rPr>
        <w:t>The platform's most valuable specific contributions to pensioners are universal healthcare's coverage of the early-retiree gap (eliminating the financial planning challenge of pre-Medicare years) and the broader insulation from healthcare cost inflation that universal coverage provides. Pensioners on fixed income are particularly exposed to healthcare cost inflation; universal coverage substantially reduces this exposure. These benefits should be explicitly communicated; many pensioners will not recognize them without direct messaging.</w:t>
      </w:r>
    </w:p>
    <w:p>
      <w:pPr>
        <w:spacing w:after="240" w:line="340"/>
        <w:jc w:val="both"/>
      </w:pPr>
      <w:r>
        <w:rPr>
          <w:rFonts w:ascii="Georgia" w:cs="Georgia" w:eastAsia="Georgia" w:hAnsi="Georgia"/>
          <w:color w:val="1A1A1A"/>
          <w:sz w:val="24"/>
          <w:szCs w:val="24"/>
        </w:rPr>
        <w:t>The platform's most significant unresolved issues for pensioners are the long-term care gap (acknowledged but not solved), the Social Security taxation threshold issue (not directly addressed), and the wage floor exemption mechanics for retirement income (implicit design but not specified). None of these are platform-fatal; all require explicit attention before deployment. The Open Questions section above lists them for transparency.</w:t>
      </w:r>
    </w:p>
    <w:p>
      <w:pPr>
        <w:spacing w:after="240" w:line="340"/>
        <w:jc w:val="both"/>
      </w:pPr>
      <w:r>
        <w:rPr>
          <w:rFonts w:ascii="Georgia" w:cs="Georgia" w:eastAsia="Georgia" w:hAnsi="Georgia"/>
          <w:color w:val="1A1A1A"/>
          <w:sz w:val="24"/>
          <w:szCs w:val="24"/>
        </w:rPr>
        <w:t>Communication infrastructure for pensioners is the most important political success factor for this scope. AARP and similar organizations have substantial reach and credibility with the pensioner population. Engagement with these organizations during platform design, with messaging that emphasizes benefit preservation and the platform's specific pensioner advantages, is preferable to design choices that create unnecessary opposition through poorly-explained changes.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