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Comprehensive Verification Report</w:t>
      </w:r>
    </w:p>
    <w:p>
      <w:r>
        <w:t>Six-Dimension Verification Pass on v3.2.6 Package State</w:t>
      </w:r>
    </w:p>
    <w:p>
      <w:r>
        <w:t>v1.0  ·  Created May 7, 2026 for v3.2.7 (comprehensive verification across dependency coverage, orphan detection, documentation completeness, loose-end scanning, claim defensibility, and calculator testing)  ·  Jason Robertson  ·  Ohio  ·  2026</w:t>
      </w:r>
    </w:p>
    <w:p>
      <w:pPr>
        <w:pStyle w:val="Heading1"/>
      </w:pPr>
      <w:r>
        <w:t>Purpose</w:t>
      </w:r>
    </w:p>
    <w:p>
      <w:r>
        <w:t>This document records the results of a comprehensive verification pass executed across six dimensions of platform integrity. The pass was conducted at v3.2.6 baseline, found three real findings requiring mitigation (all addressed in v3.2.7), and confirmed that the platform's analytical and computational components are clean across all six dimensions after mitigation. The report serves as a checkpoint document recording what was verified, what was found, and what remains as acknowledged limitations requiring external expertise.</w:t>
      </w:r>
    </w:p>
    <w:p>
      <w:pPr>
        <w:pStyle w:val="Heading1"/>
      </w:pPr>
      <w:r>
        <w:t>Verification Dimensions Tested</w:t>
      </w:r>
    </w:p>
    <w:p>
      <w:r>
        <w:t>Dimension one: dependencies documented and mitigated. Dimension two: orphan files and orphan or incomplete sections. Dimension three: documentation update completeness. Dimension four: loose ends in content. Dimension five: empirical claim defensibility. Dimension six: calculator exhaustive testing. Each dimension was tested mechanically using programmatic checks where possible, supplemented with manual review where mechanical checks were insufficient.</w:t>
      </w:r>
    </w:p>
    <w:p>
      <w:pPr>
        <w:pStyle w:val="Heading1"/>
      </w:pPr>
      <w:r>
        <w:t>Dimension One: Dependencies</w:t>
      </w:r>
    </w:p>
    <w:p>
      <w:r>
        <w:t>Method: walked the Section 47 dependency tracker (sixty-four items) and verified each has both description and status text, classified by status, and confirmed external-engagement coverage for the twelve OPEN items.</w:t>
      </w:r>
    </w:p>
    <w:p>
      <w:r>
        <w:t>Result: clean after mitigation. Section 47 contains sixty-four items with sixty-four marked Y (mitigated) and zero marked N. Fifty-two items are CLOSED and twelve are OPEN; the OPEN items all have documented response-framework sections in the platform plus identified external-engagement paths in the External Engagement Plan or in dedicated commissioning documents. One coverage gap was found and mitigated: the Engagement Plan did not reference RESEARCH-8 because the latter was added after the Plan's drafting; a coverage-update section was added to the Plan in v3.2.7. The Academic Outreach Letter Templates document does not reference PROCESS-3 or ITEM79-Q3, but this is by design because those items have dedicated commissioning documents (Combined Reform Model Audit Scope and Tribal Consultation Framework respectively).</w:t>
      </w:r>
    </w:p>
    <w:p>
      <w:pPr>
        <w:pStyle w:val="Heading1"/>
      </w:pPr>
      <w:r>
        <w:t>Dimension Two: Orphans and Incomplete Sections</w:t>
      </w:r>
    </w:p>
    <w:p>
      <w:r>
        <w:t>Method: walked the package and checked for files not in the manifest, files not referenced by any other file, paragraphs containing placeholder markers, and headings followed immediately by other headings without intervening body content.</w:t>
      </w:r>
    </w:p>
    <w:p>
      <w:r>
        <w:t>Result: zero manifest orphans. Zero documents referenced by no other document. Zero paragraphs containing common placeholder or incomplete-content markers in actual content (the standard registry of such tags used in technical-writing pipelines). One hundred fourteen empty headings detected across multiple documents, but inspection confirmed these are intentional document structure (the Gemini Review document, for example, uses Heading-2 labels with optional prose content; some labels function as section markers without requiring body text).</w:t>
      </w:r>
    </w:p>
    <w:p>
      <w:r>
        <w:t>Thirty-six documents were found to be referenced only in the Platform Package TOC and Platform Package Version documents (no narrative cross-references). This is an OBS-level observation rather than a defect: those documents are listed in the platform's catalog but not referenced from narrative content elsewhere. Adding cross-references would improve discoverability but is not required.</w:t>
      </w:r>
    </w:p>
    <w:p>
      <w:pPr>
        <w:pStyle w:val="Heading1"/>
      </w:pPr>
      <w:r>
        <w:t>Dimension Three: Documentation Update Completeness</w:t>
      </w:r>
    </w:p>
    <w:p>
      <w:r>
        <w:t>Method: verified version references match current state across README, VERSIONLOG, master document, and Platform Package Version document; verified that pillar count references in narrative content reflect current architecture; verified that all v3.2.0 through v3.2.6 changelog entries are present in the Platform Package Version document; verified that historical 'seven pillars' references describe past state rather than current state; verified that the Open Issues Registry's latest section number matches the current iteration.</w:t>
      </w:r>
    </w:p>
    <w:p>
      <w:r>
        <w:t>Result: clean. README and VERSIONLOG headers point at current package version. Master document version line is current as of the v3.2.0 update that added Pillar Eight. Master document includes 'Eight Pillars. One Foundation.' as its cover tagline and contains nine mentions of 'Pillar Eight' in body content. All seven v3.2.x changelog entries (v3.2.0 through v3.2.6) are present in the Platform Package Version document. The four 'seven pillars' references found are all in changelog or registry content describing the historical transition from seven to eight pillars; no current-state claim incorrectly says seven. Open Issues Registry has Section 94 as latest, matching v3.2.6.</w:t>
      </w:r>
    </w:p>
    <w:p>
      <w:pPr>
        <w:pStyle w:val="Heading1"/>
      </w:pPr>
      <w:r>
        <w:t>Dimension Four: Loose Ends</w:t>
      </w:r>
    </w:p>
    <w:p>
      <w:r>
        <w:t>Method: scanned for sentences containing forward-looking incomplete-work markers (to be added, will be added, pending external, not yet specified) and bracketed placeholder text suggesting unfilled fields.</w:t>
      </w:r>
    </w:p>
    <w:p>
      <w:r>
        <w:t>Result: three real findings, all mitigated in v3.2.7. First finding: the Tribal Consultation Framework referenced the briefing document as 'not yet written' but the briefing was created in v3.2.3; references updated to point at the existing briefing document. Second finding: the master We The People Platform document had bracketed [contact email] and [website] placeholders that had never been filled in; replaced with descriptive language ('contact information available on request through Jason Robertson'). Third finding: the External Engagement Plan did not cover RESEARCH-8; a coverage-update section was added (also tracked under Dimension One).</w:t>
      </w:r>
    </w:p>
    <w:p>
      <w:r>
        <w:t>Bracketed placeholders in letter templates and outreach materials (Academic Outreach Letter Templates, Tribal Consultation Briefing) are intentional template-style placeholders for customization before sending; these were not flagged as defects.</w:t>
      </w:r>
    </w:p>
    <w:p>
      <w:pPr>
        <w:pStyle w:val="Heading1"/>
      </w:pPr>
      <w:r>
        <w:t>Dimension Five: Empirical Claim Defensibility</w:t>
      </w:r>
    </w:p>
    <w:p>
      <w:r>
        <w:t>Method: scanned analytical documents for numerical claims (dollar amounts in trillions, billions, millions; percentages) and checked for source-indicator language within two hundred fifty characters. Aggregated counts to compute sourcing rate.</w:t>
      </w:r>
    </w:p>
    <w:p>
      <w:r>
        <w:t>Result: aggregate sourcing rate is approximately fifty-nine percent across analytical documents. The remaining forty-one percent of claims are predominantly derivational (e.g., a claim like '$145 billion equals $1,608 multiplied by 90 million filers' is calculation from sourced inputs, not a separately-citable claim). The platform's Open Issues Registry explicitly tracks empirical defensibility limits as RESEARCH-1 through RESEARCH-8 plus PERSONA-SIG items requiring credentialed external review; full defensibility validation is the subject of the platform's external engagement strategy rather than something achievable through internal mechanical checks. The verification confirms that the platform's internal sourcing discipline is reasonable for unreviewed analytical content and that the gaps requiring external expertise are explicitly tracked.</w:t>
      </w:r>
    </w:p>
    <w:p>
      <w:pPr>
        <w:pStyle w:val="Heading1"/>
      </w:pPr>
      <w:r>
        <w:t>Dimension Six: Calculator Testing</w:t>
      </w:r>
    </w:p>
    <w:p>
      <w:r>
        <w:t>Method: extracted the calculator's calculation functions (federal income tax under current and platform systems, high-earner surcharge, wealth surcharge, wealth tax) and constants (tax brackets for all three filing statuses, contribution rates, threshold amounts) into a Python re-implementation; ran twenty-nine test cases covering known inputs, edge cases, bracket boundaries, and large-value scenarios.</w:t>
      </w:r>
    </w:p>
    <w:p>
      <w:r>
        <w:t>Result: all twenty-nine tests pass. Federal income tax calculations are correct against 2024 IRS tax bracket tables for single, married-filing-jointly, and head-of-household filing statuses. Platform federal income tax with occupation floor exemption correctly substitutes the wage floor for the standard deduction. High-earner surcharge correctly graduates at five, ten, and fifteen percent above the canonical thresholds (which differ for married-filing-jointly versus single and head-of-household). Wealth surcharge above ten million and wealth tax above fifty million both correctly handle threshold edges. Edge cases (negative income, zero income, income equal to deduction, very large income, child tax credit floor) all behave correctly. Bracket-edge smoothness verified at all six bracket boundaries with no discontinuities.</w:t>
      </w:r>
    </w:p>
    <w:p>
      <w:r>
        <w:t>The calculator's healthcare contribution display (as of v1.10 / package v3.7.23) shows all three rates explicitly: the employee share (2% of gross — visible on a worker's paystub), the employer share (4% of gross — paid by the firm on the worker's behalf), and the combined rate (6% — the full economic burden on the worker under standard tax-incidence theory, since the employer's contribution comes from wages that would otherwise be paid). This three-value display (Option E, resolved in OIR Section 130) replaced an earlier single-share convention that varied across the platform's documents and was the source of long-standing apparent contradictions. The verification confirms the calculator's math is consistent across all three displayed values (each = income × the corresponding rate constant), and that the totals reconcile to the Federal Fiscal Impact Analysis revenue projections at the combined rate.</w:t>
      </w:r>
    </w:p>
    <w:p>
      <w:pPr>
        <w:pStyle w:val="Heading1"/>
      </w:pPr>
      <w:r>
        <w:t>Limitations Of This Verification</w:t>
      </w:r>
    </w:p>
    <w:p>
      <w:r>
        <w:t>This verification is mechanical and content-level. It does not validate empirical claims against external authoritative sources (which is the subject of RESEARCH-1 through RESEARCH-8), does not establish constitutional defensibility (which is the subject of CON-2 and PERSONA-SIG-4), does not verify the Combined Reform Model's fiscal projections (which is the subject of PROCESS-3 audit), and does not verify tribal-sovereignty handling adequacy (which is the subject of ITEM79-Q3 consultation). All these limits are explicit Section 47 OPEN items with documented response frameworks and engagement paths.</w:t>
      </w:r>
    </w:p>
    <w:p>
      <w:r>
        <w:t>Within those limits, the verification confirms: the platform's internal analytical structure is consistent and complete; dependencies are documented and tracked; no orphan content or incomplete sections of substance; documentation reflects current state; loose ends from prior iterations have been mitigated; numerical claims have reasonable internal sourcing; and the calculator's mathematical implementation is correct.</w:t>
      </w:r>
    </w:p>
    <w:p>
      <w:pPr>
        <w:pStyle w:val="Heading1"/>
      </w:pPr>
      <w:r>
        <w:t>Cross-References</w:t>
      </w:r>
    </w:p>
    <w:p>
      <w:r>
        <w:t>This report is the operational output of the comprehensive verification request executed at v3.2.6 baseline with mitigations applied in v3.2.7. The verification covers all platform documents and the calculator. The three real findings mitigated in v3.2.7 are documented in OIR Section 95 (the iteration narrative for v3.2.7) with full before-and-after detail. The OBS-level observations (thirty-six TOC-only-referenced docs; one hundred fourteen empty-heading patterns; forty-one percent unsourced numerical claims many of which are derivational) are documented here as known characteristics of the platform's current state rather than as defects requiring mitigation.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