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400"/>
      </w:pPr>
      <w:r>
        <w:t xml:space="preserve"/>
      </w:r>
    </w:p>
    <w:p>
      <w:pPr>
        <w:spacing w:after="100"/>
        <w:jc w:val="center"/>
      </w:pPr>
      <w:r>
        <w:rPr>
          <w:rFonts w:ascii="Arial" w:cs="Arial" w:eastAsia="Arial" w:hAnsi="Arial"/>
          <w:b/>
          <w:bCs/>
          <w:color w:val="1F4E78"/>
          <w:sz w:val="46"/>
          <w:szCs w:val="46"/>
        </w:rPr>
        <w:t xml:space="preserve">COALITION WALKTHROUGH</w:t>
      </w:r>
    </w:p>
    <w:p>
      <w:pPr>
        <w:spacing w:after="200"/>
        <w:jc w:val="center"/>
      </w:pPr>
      <w:r>
        <w:rPr>
          <w:rFonts w:ascii="Arial" w:cs="Arial" w:eastAsia="Arial" w:hAnsi="Arial"/>
          <w:i/>
          <w:iCs/>
          <w:color w:val="C00000"/>
          <w:sz w:val="28"/>
          <w:szCs w:val="28"/>
        </w:rPr>
        <w:t xml:space="preserve">Four Scenarios in Depth</w:t>
      </w:r>
    </w:p>
    <w:p>
      <w:pPr>
        <w:pBdr>
          <w:bottom w:val="single" w:color="1F4E78" w:sz="18"/>
        </w:pBdr>
        <w:spacing w:after="600"/>
        <w:jc w:val="center"/>
      </w:pPr>
      <w:r>
        <w:t xml:space="preserve"/>
      </w:r>
    </w:p>
    <w:p>
      <w:pPr>
        <w:spacing w:after="200"/>
        <w:jc w:val="center"/>
      </w:pPr>
      <w:r>
        <w:rPr>
          <w:rFonts w:ascii="Georgia" w:cs="Georgia" w:eastAsia="Georgia" w:hAnsi="Georgia"/>
          <w:i/>
          <w:iCs/>
          <w:color w:val="1A1A1A"/>
          <w:sz w:val="22"/>
          <w:szCs w:val="22"/>
        </w:rPr>
        <w:t xml:space="preserve">What does the optimistic scenario actually require?</w:t>
      </w:r>
    </w:p>
    <w:p>
      <w:pPr>
        <w:spacing w:after="200"/>
        <w:jc w:val="center"/>
      </w:pPr>
      <w:r>
        <w:rPr>
          <w:rFonts w:ascii="Georgia" w:cs="Georgia" w:eastAsia="Georgia" w:hAnsi="Georgia"/>
          <w:i/>
          <w:iCs/>
          <w:color w:val="1A1A1A"/>
          <w:sz w:val="22"/>
          <w:szCs w:val="22"/>
        </w:rPr>
        <w:t xml:space="preserve">Why is working-class conversion the highest-leverage variable?</w:t>
      </w:r>
    </w:p>
    <w:p>
      <w:pPr>
        <w:spacing w:after="200"/>
        <w:jc w:val="center"/>
      </w:pPr>
      <w:r>
        <w:rPr>
          <w:rFonts w:ascii="Georgia" w:cs="Georgia" w:eastAsia="Georgia" w:hAnsi="Georgia"/>
          <w:i/>
          <w:iCs/>
          <w:color w:val="1A1A1A"/>
          <w:sz w:val="22"/>
          <w:szCs w:val="22"/>
        </w:rPr>
        <w:t xml:space="preserve">Does 88M nationally translate to Senate seats?</w:t>
      </w:r>
    </w:p>
    <w:p>
      <w:pPr>
        <w:spacing w:after="1200"/>
        <w:jc w:val="center"/>
      </w:pPr>
      <w:r>
        <w:rPr>
          <w:rFonts w:ascii="Georgia" w:cs="Georgia" w:eastAsia="Georgia" w:hAnsi="Georgia"/>
          <w:i/>
          <w:iCs/>
          <w:color w:val="1A1A1A"/>
          <w:sz w:val="22"/>
          <w:szCs w:val="22"/>
        </w:rPr>
        <w:t xml:space="preserve">What is one specific household's path from beneficiary to supporter?</w:t>
      </w:r>
    </w:p>
    <w:p>
      <w:pPr>
        <w:spacing w:before="1200"/>
      </w:pPr>
      <w:r>
        <w:t xml:space="preserve"/>
      </w:r>
    </w:p>
    <w:p>
      <w:pPr>
        <w:spacing w:after="80"/>
        <w:jc w:val="center"/>
      </w:pPr>
      <w:r>
        <w:rPr>
          <w:rFonts w:ascii="Georgia" w:cs="Georgia" w:eastAsia="Georgia" w:hAnsi="Georgia"/>
          <w:i/>
          <w:iCs/>
          <w:color w:val="595959"/>
          <w:sz w:val="22"/>
          <w:szCs w:val="22"/>
        </w:rPr>
        <w:t xml:space="preserve">Companion to Coalition Mathematics (v2.6)</w:t>
      </w:r>
    </w:p>
    <w:p>
      <w:pPr>
        <w:spacing w:after="80"/>
        <w:jc w:val="center"/>
      </w:pPr>
      <w:r>
        <w:rPr>
          <w:rFonts w:ascii="Georgia" w:cs="Georgia" w:eastAsia="Georgia" w:hAnsi="Georgia"/>
          <w:b/>
          <w:bCs/>
          <w:color w:val="1A1A1A"/>
          <w:sz w:val="24"/>
          <w:szCs w:val="24"/>
        </w:rPr>
        <w:t xml:space="preserve">Jason Robertson</w:t>
      </w:r>
    </w:p>
    <w:p>
      <w:pPr>
        <w:spacing w:before="480"/>
        <w:jc w:val="center"/>
      </w:pPr>
      <w:r>
        <w:rPr>
          <w:rFonts w:ascii="Arial" w:cs="Arial" w:eastAsia="Arial" w:hAnsi="Arial"/>
          <w:i/>
          <w:iCs/>
          <w:color w:val="595959"/>
          <w:sz w:val="16"/>
          <w:szCs w:val="16"/>
        </w:rPr>
        <w:t xml:space="preserve">v1.0  ·  Created May 5, 2026  ·  Updated May 5, 2026</w:t>
      </w:r>
    </w:p>
    <w:p>
      <w:pPr>
        <w:jc w:val="center"/>
      </w:pPr>
      <w:r>
        <w:rPr>
          <w:rFonts w:ascii="Georgia" w:cs="Georgia" w:eastAsia="Georgia" w:hAnsi="Georgia"/>
          <w:color w:val="595959"/>
          <w:sz w:val="20"/>
          <w:szCs w:val="20"/>
        </w:rPr>
        <w:t xml:space="preserve">Ohio  ·  2026</w:t>
      </w:r>
    </w:p>
    <w:p>
      <w:r>
        <w:br w:type="page"/>
      </w:r>
    </w:p>
    <w:p>
      <w:pPr>
        <w:pStyle w:val="Heading1"/>
        <w:spacing w:after="240" w:before="480"/>
      </w:pPr>
      <w:r>
        <w:rPr>
          <w:rFonts w:ascii="Arial" w:cs="Arial" w:eastAsia="Arial" w:hAnsi="Arial"/>
          <w:b/>
          <w:bCs/>
          <w:color w:val="1F4E78"/>
          <w:sz w:val="36"/>
          <w:szCs w:val="36"/>
        </w:rPr>
        <w:t xml:space="preserve">How to Read This Document</w:t>
      </w:r>
    </w:p>
    <w:p>
      <w:pPr>
        <w:spacing w:after="240" w:line="340"/>
        <w:jc w:val="both"/>
      </w:pPr>
      <w:r>
        <w:rPr>
          <w:rFonts w:ascii="Georgia" w:cs="Georgia" w:eastAsia="Georgia" w:hAnsi="Georgia"/>
          <w:color w:val="1A1A1A"/>
          <w:sz w:val="24"/>
          <w:szCs w:val="24"/>
        </w:rPr>
        <w:t xml:space="preserve">The Coalition Mathematics analysis (v2.6) produced a probability-weighted projection of approximately 88 million supporters — just at the durable mandate threshold. That number is a summary; this document walks through the substantive picture behind it from four angles. Each angle is a different way of asking the same question: what does it actually take to pass this platform?</w:t>
      </w:r>
    </w:p>
    <w:p>
      <w:pPr>
        <w:spacing w:after="200" w:line="320"/>
        <w:jc w:val="both"/>
      </w:pPr>
      <w:r>
        <w:rPr>
          <w:rFonts w:ascii="Georgia" w:cs="Georgia" w:eastAsia="Georgia" w:hAnsi="Georgia"/>
          <w:color w:val="1A1A1A"/>
          <w:sz w:val="22"/>
          <w:szCs w:val="22"/>
        </w:rPr>
        <w:t xml:space="preserve">The four walkthroughs are not alternative analyses. They interlock. The optimistic scenario describes what conditions need to align. The working-class deep dive identifies the highest-leverage variable. The geographic analysis exposes the structural constraint that national totals don't fully capture. And the household walkthrough makes the entire abstract analysis concrete — one family's actual experience from beneficiary to supporter.</w:t>
      </w:r>
    </w:p>
    <w:p>
      <w:pPr>
        <w:spacing w:after="200" w:line="320"/>
        <w:jc w:val="both"/>
      </w:pPr>
      <w:r>
        <w:rPr>
          <w:rFonts w:ascii="Georgia" w:cs="Georgia" w:eastAsia="Georgia" w:hAnsi="Georgia"/>
          <w:color w:val="1A1A1A"/>
          <w:sz w:val="22"/>
          <w:szCs w:val="22"/>
        </w:rPr>
        <w:t xml:space="preserve">Read in sequence, the four walkthroughs answer four progressively concrete questions: what does the projection look like at its best, where is the leverage, what's the structural constraint, and what does it look like for one specific family. Together they form the strategic picture that informs platform messaging, organization, and candidate selection.</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left w:val="single" w:color="C00000" w:sz="24"/>
              <w:bottom w:val="none"/>
              <w:right w:val="none"/>
            </w:tcBorders>
            <w:tcMar>
              <w:top w:type="dxa" w:w="200"/>
              <w:left w:type="dxa" w:w="360"/>
              <w:bottom w:type="dxa" w:w="200"/>
              <w:right w:type="dxa" w:w="240"/>
            </w:tcMar>
          </w:tcPr>
          <w:p>
            <w:pPr>
              <w:spacing w:line="320"/>
            </w:pPr>
            <w:r>
              <w:rPr>
                <w:rFonts w:ascii="Georgia" w:cs="Georgia" w:eastAsia="Georgia" w:hAnsi="Georgia"/>
                <w:i/>
                <w:iCs/>
                <w:color w:val="1F4E78"/>
                <w:sz w:val="26"/>
                <w:szCs w:val="26"/>
              </w:rPr>
              <w:t xml:space="preserve">“Four walkthroughs, four angles. Together they form the strategic picture that informs platform messaging, organization, and candidate selection.”</w:t>
            </w:r>
          </w:p>
        </w:tc>
      </w:tr>
    </w:tbl>
    <w:p>
      <w:r>
        <w:br w:type="page"/>
      </w:r>
    </w:p>
    <w:p>
      <w:pPr>
        <w:pStyle w:val="Heading1"/>
        <w:spacing w:after="240" w:before="480"/>
      </w:pPr>
      <w:r>
        <w:rPr>
          <w:rFonts w:ascii="Arial" w:cs="Arial" w:eastAsia="Arial" w:hAnsi="Arial"/>
          <w:b/>
          <w:bCs/>
          <w:color w:val="1F4E78"/>
          <w:sz w:val="36"/>
          <w:szCs w:val="36"/>
        </w:rPr>
        <w:t xml:space="preserve">Walkthrough 1: The Optimistic Scenario</w:t>
      </w:r>
    </w:p>
    <w:p>
      <w:pPr>
        <w:spacing w:after="240" w:line="340"/>
        <w:jc w:val="both"/>
      </w:pPr>
      <w:r>
        <w:rPr>
          <w:rFonts w:ascii="Georgia" w:cs="Georgia" w:eastAsia="Georgia" w:hAnsi="Georgia"/>
          <w:color w:val="1A1A1A"/>
          <w:sz w:val="24"/>
          <w:szCs w:val="24"/>
        </w:rPr>
        <w:t xml:space="preserve">The optimistic scenario produces approximately 100 million supporters (~65% of expected voters), reaching durable mandate territory. This walkthrough specifies what conditions must align to materialize this scenario, what each condition would look like in practice, and what proponent actions move probability toward this outcome.</w:t>
      </w:r>
    </w:p>
    <w:p>
      <w:pPr>
        <w:pStyle w:val="Heading2"/>
        <w:spacing w:after="160" w:before="360"/>
      </w:pPr>
      <w:r>
        <w:rPr>
          <w:rFonts w:ascii="Arial" w:cs="Arial" w:eastAsia="Arial" w:hAnsi="Arial"/>
          <w:b/>
          <w:bCs/>
          <w:color w:val="1F4E78"/>
          <w:sz w:val="28"/>
          <w:szCs w:val="28"/>
        </w:rPr>
        <w:t xml:space="preserve">The Numbers Behind the Number</w:t>
      </w:r>
    </w:p>
    <w:p>
      <w:pPr>
        <w:spacing w:after="200" w:line="320"/>
        <w:jc w:val="both"/>
      </w:pPr>
      <w:r>
        <w:rPr>
          <w:rFonts w:ascii="Georgia" w:cs="Georgia" w:eastAsia="Georgia" w:hAnsi="Georgia"/>
          <w:color w:val="1A1A1A"/>
          <w:sz w:val="22"/>
          <w:szCs w:val="22"/>
        </w:rPr>
        <w:t xml:space="preserve">The optimistic scenario isn't an abstract aspiration; it's a specific arithmetic outcome of specific conversion rates and turnout patterns. Working backward from approximately 100 million supporters:</w:t>
      </w:r>
    </w:p>
    <w:p>
      <w:pPr>
        <w:spacing w:after="120"/>
      </w:pPr>
      <w:r>
        <w:t xml:space="preserve"/>
      </w:r>
    </w:p>
    <w:tbl>
      <w:tblPr>
        <w:tblW w:type="dxa" w:w="8000"/>
        <w:tblBorders>
          <w:top w:val="single" w:color="auto" w:sz="4"/>
          <w:left w:val="single" w:color="auto" w:sz="4"/>
          <w:bottom w:val="single" w:color="auto" w:sz="4"/>
          <w:right w:val="single" w:color="auto" w:sz="4"/>
          <w:insideH w:val="single" w:color="auto" w:sz="4"/>
          <w:insideV w:val="single" w:color="auto" w:sz="4"/>
        </w:tblBorders>
      </w:tblPr>
      <w:tblGrid>
        <w:gridCol w:w="2400"/>
        <w:gridCol w:w="1400"/>
        <w:gridCol w:w="1500"/>
        <w:gridCol w:w="2700"/>
      </w:tblGrid>
      <w:tr>
        <w:tc>
          <w:tcPr>
            <w:tcW w:type="dxa" w:w="240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Household Type</w:t>
            </w:r>
          </w:p>
        </w:tc>
        <w:tc>
          <w:tcPr>
            <w:tcW w:type="dxa" w:w="140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Voters (M)</w:t>
            </w:r>
          </w:p>
        </w:tc>
        <w:tc>
          <w:tcPr>
            <w:tcW w:type="dxa" w:w="150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Conversion</w:t>
            </w:r>
          </w:p>
        </w:tc>
        <w:tc>
          <w:tcPr>
            <w:tcW w:type="dxa" w:w="270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Supporters (M)</w:t>
            </w:r>
          </w:p>
        </w:tc>
      </w:tr>
      <w:tr>
        <w:tc>
          <w:tcPr>
            <w:tcW w:type="dxa" w:w="24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Low-income family with kids</w:t>
            </w:r>
          </w:p>
        </w:tc>
        <w:tc>
          <w:tcPr>
            <w:tcW w:type="dxa" w:w="14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25</w:t>
            </w:r>
          </w:p>
        </w:tc>
        <w:tc>
          <w:tcPr>
            <w:tcW w:type="dxa" w:w="1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70%</w:t>
            </w:r>
          </w:p>
        </w:tc>
        <w:tc>
          <w:tcPr>
            <w:tcW w:type="dxa" w:w="27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17.5</w:t>
            </w:r>
          </w:p>
        </w:tc>
      </w:tr>
      <w:tr>
        <w:tc>
          <w:tcPr>
            <w:tcW w:type="dxa" w:w="24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left"/>
            </w:pPr>
            <w:r>
              <w:rPr>
                <w:rFonts w:ascii="Georgia" w:cs="Georgia" w:eastAsia="Georgia" w:hAnsi="Georgia"/>
                <w:color w:val="1A1A1A"/>
                <w:sz w:val="20"/>
                <w:szCs w:val="20"/>
              </w:rPr>
              <w:t xml:space="preserve">Middle-income family with kids</w:t>
            </w:r>
          </w:p>
        </w:tc>
        <w:tc>
          <w:tcPr>
            <w:tcW w:type="dxa" w:w="14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28</w:t>
            </w:r>
          </w:p>
        </w:tc>
        <w:tc>
          <w:tcPr>
            <w:tcW w:type="dxa" w:w="15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68%</w:t>
            </w:r>
          </w:p>
        </w:tc>
        <w:tc>
          <w:tcPr>
            <w:tcW w:type="dxa" w:w="27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19.0</w:t>
            </w:r>
          </w:p>
        </w:tc>
      </w:tr>
      <w:tr>
        <w:tc>
          <w:tcPr>
            <w:tcW w:type="dxa" w:w="24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Low-income single</w:t>
            </w:r>
          </w:p>
        </w:tc>
        <w:tc>
          <w:tcPr>
            <w:tcW w:type="dxa" w:w="14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22</w:t>
            </w:r>
          </w:p>
        </w:tc>
        <w:tc>
          <w:tcPr>
            <w:tcW w:type="dxa" w:w="1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62%</w:t>
            </w:r>
          </w:p>
        </w:tc>
        <w:tc>
          <w:tcPr>
            <w:tcW w:type="dxa" w:w="27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13.6</w:t>
            </w:r>
          </w:p>
        </w:tc>
      </w:tr>
      <w:tr>
        <w:tc>
          <w:tcPr>
            <w:tcW w:type="dxa" w:w="24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left"/>
            </w:pPr>
            <w:r>
              <w:rPr>
                <w:rFonts w:ascii="Georgia" w:cs="Georgia" w:eastAsia="Georgia" w:hAnsi="Georgia"/>
                <w:color w:val="1A1A1A"/>
                <w:sz w:val="20"/>
                <w:szCs w:val="20"/>
              </w:rPr>
              <w:t xml:space="preserve">Middle-income single</w:t>
            </w:r>
          </w:p>
        </w:tc>
        <w:tc>
          <w:tcPr>
            <w:tcW w:type="dxa" w:w="14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25</w:t>
            </w:r>
          </w:p>
        </w:tc>
        <w:tc>
          <w:tcPr>
            <w:tcW w:type="dxa" w:w="15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62%</w:t>
            </w:r>
          </w:p>
        </w:tc>
        <w:tc>
          <w:tcPr>
            <w:tcW w:type="dxa" w:w="27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15.5</w:t>
            </w:r>
          </w:p>
        </w:tc>
      </w:tr>
      <w:tr>
        <w:tc>
          <w:tcPr>
            <w:tcW w:type="dxa" w:w="24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Retiree on fixed income</w:t>
            </w:r>
          </w:p>
        </w:tc>
        <w:tc>
          <w:tcPr>
            <w:tcW w:type="dxa" w:w="14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28</w:t>
            </w:r>
          </w:p>
        </w:tc>
        <w:tc>
          <w:tcPr>
            <w:tcW w:type="dxa" w:w="1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70%</w:t>
            </w:r>
          </w:p>
        </w:tc>
        <w:tc>
          <w:tcPr>
            <w:tcW w:type="dxa" w:w="27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19.6</w:t>
            </w:r>
          </w:p>
        </w:tc>
      </w:tr>
      <w:tr>
        <w:tc>
          <w:tcPr>
            <w:tcW w:type="dxa" w:w="24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left"/>
            </w:pPr>
            <w:r>
              <w:rPr>
                <w:rFonts w:ascii="Georgia" w:cs="Georgia" w:eastAsia="Georgia" w:hAnsi="Georgia"/>
                <w:color w:val="1A1A1A"/>
                <w:sz w:val="20"/>
                <w:szCs w:val="20"/>
              </w:rPr>
              <w:t xml:space="preserve">Upper-middle family</w:t>
            </w:r>
          </w:p>
        </w:tc>
        <w:tc>
          <w:tcPr>
            <w:tcW w:type="dxa" w:w="14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17</w:t>
            </w:r>
          </w:p>
        </w:tc>
        <w:tc>
          <w:tcPr>
            <w:tcW w:type="dxa" w:w="15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55%</w:t>
            </w:r>
          </w:p>
        </w:tc>
        <w:tc>
          <w:tcPr>
            <w:tcW w:type="dxa" w:w="27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9.4</w:t>
            </w:r>
          </w:p>
        </w:tc>
      </w:tr>
      <w:tr>
        <w:tc>
          <w:tcPr>
            <w:tcW w:type="dxa" w:w="24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Top 10-1% (mixed)</w:t>
            </w:r>
          </w:p>
        </w:tc>
        <w:tc>
          <w:tcPr>
            <w:tcW w:type="dxa" w:w="14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10</w:t>
            </w:r>
          </w:p>
        </w:tc>
        <w:tc>
          <w:tcPr>
            <w:tcW w:type="dxa" w:w="1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45%</w:t>
            </w:r>
          </w:p>
        </w:tc>
        <w:tc>
          <w:tcPr>
            <w:tcW w:type="dxa" w:w="27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4.5</w:t>
            </w:r>
          </w:p>
        </w:tc>
      </w:tr>
      <w:tr>
        <w:tc>
          <w:tcPr>
            <w:tcW w:type="dxa" w:w="24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left"/>
            </w:pPr>
            <w:r>
              <w:rPr>
                <w:rFonts w:ascii="Georgia" w:cs="Georgia" w:eastAsia="Georgia" w:hAnsi="Georgia"/>
                <w:color w:val="1A1A1A"/>
                <w:sz w:val="20"/>
                <w:szCs w:val="20"/>
              </w:rPr>
              <w:t xml:space="preserve">Top 1% (net negative)</w:t>
            </w:r>
          </w:p>
        </w:tc>
        <w:tc>
          <w:tcPr>
            <w:tcW w:type="dxa" w:w="14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2.1</w:t>
            </w:r>
          </w:p>
        </w:tc>
        <w:tc>
          <w:tcPr>
            <w:tcW w:type="dxa" w:w="15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25%</w:t>
            </w:r>
          </w:p>
        </w:tc>
        <w:tc>
          <w:tcPr>
            <w:tcW w:type="dxa" w:w="27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0.5</w:t>
            </w:r>
          </w:p>
        </w:tc>
      </w:tr>
      <w:tr>
        <w:tc>
          <w:tcPr>
            <w:tcW w:type="dxa" w:w="24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Top 0.1%</w:t>
            </w:r>
          </w:p>
        </w:tc>
        <w:tc>
          <w:tcPr>
            <w:tcW w:type="dxa" w:w="14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0.13</w:t>
            </w:r>
          </w:p>
        </w:tc>
        <w:tc>
          <w:tcPr>
            <w:tcW w:type="dxa" w:w="1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15%</w:t>
            </w:r>
          </w:p>
        </w:tc>
        <w:tc>
          <w:tcPr>
            <w:tcW w:type="dxa" w:w="27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0.02</w:t>
            </w:r>
          </w:p>
        </w:tc>
      </w:tr>
      <w:tr>
        <w:tc>
          <w:tcPr>
            <w:tcW w:type="dxa" w:w="24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left"/>
            </w:pPr>
            <w:r>
              <w:rPr>
                <w:rFonts w:ascii="Georgia" w:cs="Georgia" w:eastAsia="Georgia" w:hAnsi="Georgia"/>
                <w:color w:val="1A1A1A"/>
                <w:sz w:val="20"/>
                <w:szCs w:val="20"/>
              </w:rPr>
              <w:t xml:space="preserve">Total optimistic supporters</w:t>
            </w:r>
          </w:p>
        </w:tc>
        <w:tc>
          <w:tcPr>
            <w:tcW w:type="dxa" w:w="14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
            </w:r>
          </w:p>
        </w:tc>
        <w:tc>
          <w:tcPr>
            <w:tcW w:type="dxa" w:w="15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
            </w:r>
          </w:p>
        </w:tc>
        <w:tc>
          <w:tcPr>
            <w:tcW w:type="dxa" w:w="27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~99.7</w:t>
            </w:r>
          </w:p>
        </w:tc>
      </w:tr>
    </w:tbl>
    <w:p>
      <w:pPr>
        <w:spacing w:after="240"/>
      </w:pPr>
      <w:r>
        <w:t xml:space="preserve"/>
      </w:r>
    </w:p>
    <w:p>
      <w:pPr>
        <w:spacing w:after="200" w:line="320"/>
        <w:jc w:val="both"/>
      </w:pPr>
      <w:r>
        <w:rPr>
          <w:rFonts w:ascii="Georgia" w:cs="Georgia" w:eastAsia="Georgia" w:hAnsi="Georgia"/>
          <w:color w:val="1A1A1A"/>
          <w:sz w:val="22"/>
          <w:szCs w:val="22"/>
        </w:rPr>
        <w:t xml:space="preserve">These conversion rates aren't generous. They're realistic under favorable conditions. Notice that even in the optimistic scenario, working-class beneficiary support tops out at 70% — not 85% or 90%. Even in the optimistic scenario, fully 30% of working-class beneficiaries vote against their economic interest. That's the floor that any platform faces; the optimistic scenario doesn't eliminate the gap, it just narrows it.</w:t>
      </w:r>
    </w:p>
    <w:p>
      <w:pPr>
        <w:pStyle w:val="Heading2"/>
        <w:spacing w:after="160" w:before="360"/>
      </w:pPr>
      <w:r>
        <w:rPr>
          <w:rFonts w:ascii="Arial" w:cs="Arial" w:eastAsia="Arial" w:hAnsi="Arial"/>
          <w:b/>
          <w:bCs/>
          <w:color w:val="1F4E78"/>
          <w:sz w:val="28"/>
          <w:szCs w:val="28"/>
        </w:rPr>
        <w:t xml:space="preserve">Six Conditions That Must Align</w:t>
      </w:r>
    </w:p>
    <w:p>
      <w:pPr>
        <w:pStyle w:val="Heading3"/>
        <w:spacing w:after="120" w:before="240"/>
      </w:pPr>
      <w:r>
        <w:rPr>
          <w:rFonts w:ascii="Arial" w:cs="Arial" w:eastAsia="Arial" w:hAnsi="Arial"/>
          <w:b/>
          <w:bCs/>
          <w:color w:val="C00000"/>
          <w:sz w:val="22"/>
          <w:szCs w:val="22"/>
        </w:rPr>
        <w:t xml:space="preserve">Condition 1: Voter Turnout Above 2024 Levels</w:t>
      </w:r>
    </w:p>
    <w:p>
      <w:pPr>
        <w:spacing w:after="200" w:line="320"/>
        <w:jc w:val="both"/>
      </w:pPr>
      <w:r>
        <w:rPr>
          <w:rFonts w:ascii="Georgia" w:cs="Georgia" w:eastAsia="Georgia" w:hAnsi="Georgia"/>
          <w:color w:val="1A1A1A"/>
          <w:sz w:val="22"/>
          <w:szCs w:val="22"/>
        </w:rPr>
        <w:t xml:space="preserve">The optimistic scenario assumes voter turnout reaches approximately 67% of eligible voters — above 2024's 64% but below 2020's 66.6%. This is achievable but not automatic; it requires platform-specific mobilization in demographic groups that historically underperform on turnout.</w:t>
      </w:r>
    </w:p>
    <w:p>
      <w:pPr>
        <w:spacing w:after="200" w:line="320"/>
        <w:jc w:val="both"/>
      </w:pPr>
      <w:r>
        <w:rPr>
          <w:rFonts w:ascii="Georgia" w:cs="Georgia" w:eastAsia="Georgia" w:hAnsi="Georgia"/>
          <w:color w:val="1A1A1A"/>
          <w:sz w:val="22"/>
          <w:szCs w:val="22"/>
        </w:rPr>
        <w:t xml:space="preserve">In particular: bottom 20% income turnout would need to rise from approximately 50% to approximately 55%. Lower-middle income (deciles 3-4) turnout from 55% to 60%. These shifts add approximately 8-10 million voters to the platform's natural coalition, and the conversion rates in the optimistic scenario assume these voters disproportionately support the platform.</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E8F0F8"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What this looks like in practice</w:t>
            </w:r>
          </w:p>
          <w:p>
            <w:pPr>
              <w:spacing w:after="100" w:line="280"/>
            </w:pPr>
            <w:r>
              <w:rPr>
                <w:rFonts w:ascii="Georgia" w:cs="Georgia" w:eastAsia="Georgia" w:hAnsi="Georgia"/>
                <w:color w:val="1A1A1A"/>
                <w:sz w:val="21"/>
                <w:szCs w:val="21"/>
              </w:rPr>
              <w:t xml:space="preserve">•  Platform-specific voter registration drives in working-class neighborhoods, focused on first-time and lapsed voters</w:t>
            </w:r>
          </w:p>
          <w:p>
            <w:pPr>
              <w:spacing w:after="100" w:line="280"/>
            </w:pPr>
            <w:r>
              <w:rPr>
                <w:rFonts w:ascii="Georgia" w:cs="Georgia" w:eastAsia="Georgia" w:hAnsi="Georgia"/>
                <w:color w:val="1A1A1A"/>
                <w:sz w:val="21"/>
                <w:szCs w:val="21"/>
              </w:rPr>
              <w:t xml:space="preserve">•  Per-citizen messaging that connects platform commitments to specific household impact (the v2.5 work, deployed at scale)</w:t>
            </w:r>
          </w:p>
          <w:p>
            <w:pPr>
              <w:spacing w:after="100" w:line="280"/>
            </w:pPr>
            <w:r>
              <w:rPr>
                <w:rFonts w:ascii="Georgia" w:cs="Georgia" w:eastAsia="Georgia" w:hAnsi="Georgia"/>
                <w:color w:val="1A1A1A"/>
                <w:sz w:val="21"/>
                <w:szCs w:val="21"/>
              </w:rPr>
              <w:t xml:space="preserve">•  Mail-in and early-voting infrastructure that reduces friction for shift workers, parents, and rural residents</w:t>
            </w:r>
          </w:p>
          <w:p>
            <w:pPr>
              <w:spacing w:after="100" w:line="280"/>
            </w:pPr>
            <w:r>
              <w:rPr>
                <w:rFonts w:ascii="Georgia" w:cs="Georgia" w:eastAsia="Georgia" w:hAnsi="Georgia"/>
                <w:color w:val="1A1A1A"/>
                <w:sz w:val="21"/>
                <w:szCs w:val="21"/>
              </w:rPr>
              <w:t xml:space="preserve">•  Workplace voter engagement programs in industries where the platform delivers concentrated benefits (manufacturing, service, healthcare)</w:t>
            </w:r>
          </w:p>
        </w:tc>
      </w:tr>
    </w:tbl>
    <w:p>
      <w:pPr>
        <w:pStyle w:val="Heading3"/>
        <w:spacing w:after="120" w:before="240"/>
      </w:pPr>
      <w:r>
        <w:rPr>
          <w:rFonts w:ascii="Arial" w:cs="Arial" w:eastAsia="Arial" w:hAnsi="Arial"/>
          <w:b/>
          <w:bCs/>
          <w:color w:val="C00000"/>
          <w:sz w:val="22"/>
          <w:szCs w:val="22"/>
        </w:rPr>
        <w:t xml:space="preserve">Condition 2: Working-Class Conversion Above 65%</w:t>
      </w:r>
    </w:p>
    <w:p>
      <w:pPr>
        <w:spacing w:after="200" w:line="320"/>
        <w:jc w:val="both"/>
      </w:pPr>
      <w:r>
        <w:rPr>
          <w:rFonts w:ascii="Georgia" w:cs="Georgia" w:eastAsia="Georgia" w:hAnsi="Georgia"/>
          <w:color w:val="1A1A1A"/>
          <w:sz w:val="22"/>
          <w:szCs w:val="22"/>
        </w:rPr>
        <w:t xml:space="preserve">Working-class beneficiary conversion is the highest-leverage variable; the next walkthrough treats it in depth. For the optimistic scenario, working-class conversion (low-income family with kids and low-income single combined) needs to reach approximately 65-70%.</w:t>
      </w:r>
    </w:p>
    <w:p>
      <w:pPr>
        <w:spacing w:after="200" w:line="320"/>
        <w:jc w:val="both"/>
      </w:pPr>
      <w:r>
        <w:rPr>
          <w:rFonts w:ascii="Georgia" w:cs="Georgia" w:eastAsia="Georgia" w:hAnsi="Georgia"/>
          <w:color w:val="1A1A1A"/>
          <w:sz w:val="22"/>
          <w:szCs w:val="22"/>
        </w:rPr>
        <w:t xml:space="preserve">This is approximately 15 percentage points above the moderate-scenario baseline. It corresponds roughly to the working-class support level Democratic candidates achieved in 2008-2012 — a level that has eroded since but is not historically anomalous. The optimistic scenario doesn't require unprecedented working-class conversion; it requires reversing the 2012-2024 erosion.</w:t>
      </w:r>
    </w:p>
    <w:p>
      <w:pPr>
        <w:pStyle w:val="Heading3"/>
        <w:spacing w:after="120" w:before="240"/>
      </w:pPr>
      <w:r>
        <w:rPr>
          <w:rFonts w:ascii="Arial" w:cs="Arial" w:eastAsia="Arial" w:hAnsi="Arial"/>
          <w:b/>
          <w:bCs/>
          <w:color w:val="C00000"/>
          <w:sz w:val="22"/>
          <w:szCs w:val="22"/>
        </w:rPr>
        <w:t xml:space="preserve">Condition 3: Middle-Income Family Conversion Above 65%</w:t>
      </w:r>
    </w:p>
    <w:p>
      <w:pPr>
        <w:spacing w:after="200" w:line="320"/>
        <w:jc w:val="both"/>
      </w:pPr>
      <w:r>
        <w:rPr>
          <w:rFonts w:ascii="Georgia" w:cs="Georgia" w:eastAsia="Georgia" w:hAnsi="Georgia"/>
          <w:color w:val="1A1A1A"/>
          <w:sz w:val="22"/>
          <w:szCs w:val="22"/>
        </w:rPr>
        <w:t xml:space="preserve">Middle-income families with children are the second-largest household type and the most persuadable middle-income group. Their conversion rate in the moderate scenario is 60%; the optimistic scenario raises this to 68%.</w:t>
      </w:r>
    </w:p>
    <w:p>
      <w:pPr>
        <w:spacing w:after="200" w:line="320"/>
        <w:jc w:val="both"/>
      </w:pPr>
      <w:r>
        <w:rPr>
          <w:rFonts w:ascii="Georgia" w:cs="Georgia" w:eastAsia="Georgia" w:hAnsi="Georgia"/>
          <w:color w:val="1A1A1A"/>
          <w:sz w:val="22"/>
          <w:szCs w:val="22"/>
        </w:rPr>
        <w:t xml:space="preserve">This 8-percentage-point shift adds approximately 2.2 million supporters. The shift requires per-citizen messaging that emphasizes specific family-relevant benefits: childcare savings ($12,000-18,000/year for households with young children), healthcare savings ($8,000-12,000/year typical), education access for children (universal pre-K, debt-free college pathway), and retirement security (Sovereign Fund reducing future tax burden as benefits expand).</w:t>
      </w:r>
    </w:p>
    <w:p>
      <w:pPr>
        <w:pStyle w:val="Heading3"/>
        <w:spacing w:after="120" w:before="240"/>
      </w:pPr>
      <w:r>
        <w:rPr>
          <w:rFonts w:ascii="Arial" w:cs="Arial" w:eastAsia="Arial" w:hAnsi="Arial"/>
          <w:b/>
          <w:bCs/>
          <w:color w:val="C00000"/>
          <w:sz w:val="22"/>
          <w:szCs w:val="22"/>
        </w:rPr>
        <w:t xml:space="preserve">Condition 4: Effective Opposition Neutralization on at Least One Major Dimension</w:t>
      </w:r>
    </w:p>
    <w:p>
      <w:pPr>
        <w:spacing w:after="200" w:line="320"/>
        <w:jc w:val="both"/>
      </w:pPr>
      <w:r>
        <w:rPr>
          <w:rFonts w:ascii="Georgia" w:cs="Georgia" w:eastAsia="Georgia" w:hAnsi="Georgia"/>
          <w:color w:val="1A1A1A"/>
          <w:sz w:val="22"/>
          <w:szCs w:val="22"/>
        </w:rPr>
        <w:t xml:space="preserve">Well-funded opposition will mount counter-messaging on multiple dimensions: tax framing (“this raises your taxes”), implementation skepticism (“government can't deliver this”), wealth tax framing (“attacks success”), specific pillar attacks (healthcare, education, broadband), and cultural/identity framing (“socialism,” “undermines American values”).</w:t>
      </w:r>
    </w:p>
    <w:p>
      <w:pPr>
        <w:spacing w:after="200" w:line="320"/>
        <w:jc w:val="both"/>
      </w:pPr>
      <w:r>
        <w:rPr>
          <w:rFonts w:ascii="Georgia" w:cs="Georgia" w:eastAsia="Georgia" w:hAnsi="Georgia"/>
          <w:color w:val="1A1A1A"/>
          <w:sz w:val="22"/>
          <w:szCs w:val="22"/>
        </w:rPr>
        <w:t xml:space="preserve">The optimistic scenario doesn't require defeating opposition on all dimensions; it requires neutralizing at least one major attack vector through credible counter-evidence. The platform's substantive substantiation work (v2.0-v2.5) provides the raw material for this; effective deployment is the proponent action.</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E8F0F8"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Most credible neutralization opportunities</w:t>
            </w:r>
          </w:p>
          <w:p>
            <w:pPr>
              <w:spacing w:after="100" w:line="280"/>
            </w:pPr>
            <w:r>
              <w:rPr>
                <w:rFonts w:ascii="Georgia" w:cs="Georgia" w:eastAsia="Georgia" w:hAnsi="Georgia"/>
                <w:color w:val="1A1A1A"/>
                <w:sz w:val="21"/>
                <w:szCs w:val="21"/>
              </w:rPr>
              <w:t xml:space="preserve">•  Tax framing: per-citizen analysis (v2.5) demonstrates that bottom 80% receives net positive impact at every milestone. “Your taxes go up” is empirically false for most voters.</w:t>
            </w:r>
          </w:p>
          <w:p>
            <w:pPr>
              <w:spacing w:after="100" w:line="280"/>
            </w:pPr>
            <w:r>
              <w:rPr>
                <w:rFonts w:ascii="Georgia" w:cs="Georgia" w:eastAsia="Georgia" w:hAnsi="Georgia"/>
                <w:color w:val="1A1A1A"/>
                <w:sz w:val="21"/>
                <w:szCs w:val="21"/>
              </w:rPr>
              <w:t xml:space="preserve">•  Implementation skepticism: Path A broadband substantiation (v2.4) provides operational depth that contradicts “this is a fantasy.” Healthcare comparisons to Medicare (largest US single-payer program, durable for 60 years) provide implementation track record.</w:t>
            </w:r>
          </w:p>
          <w:p>
            <w:pPr>
              <w:spacing w:after="100" w:line="280"/>
            </w:pPr>
            <w:r>
              <w:rPr>
                <w:rFonts w:ascii="Georgia" w:cs="Georgia" w:eastAsia="Georgia" w:hAnsi="Georgia"/>
                <w:color w:val="1A1A1A"/>
                <w:sz w:val="21"/>
                <w:szCs w:val="21"/>
              </w:rPr>
              <w:t>•  Wealth tax framing: rate (0.6% on net worth above $50M) is calibrated to be sustainable; Norway, Switzerland, and several US states have wealth or near-wealth taxes that haven't produced economic collapse. The framing “attacks success” is rebuttable with empirical comparisons.</w:t>
            </w:r>
          </w:p>
          <w:p>
            <w:pPr>
              <w:spacing w:after="100" w:line="280"/>
            </w:pPr>
            <w:r>
              <w:rPr>
                <w:rFonts w:ascii="Georgia" w:cs="Georgia" w:eastAsia="Georgia" w:hAnsi="Georgia"/>
                <w:color w:val="1A1A1A"/>
                <w:sz w:val="21"/>
                <w:szCs w:val="21"/>
              </w:rPr>
              <w:t xml:space="preserve">•  Specific pillar attacks: each pillar's substantiation document provides per-pillar defenses. The platform doesn't have to defend every pillar against every attack; defending each well-substantiated pillar against its specific attack is sufficient.</w:t>
            </w:r>
          </w:p>
        </w:tc>
      </w:tr>
    </w:tbl>
    <w:p>
      <w:pPr>
        <w:pStyle w:val="Heading3"/>
        <w:spacing w:after="120" w:before="240"/>
      </w:pPr>
      <w:r>
        <w:rPr>
          <w:rFonts w:ascii="Arial" w:cs="Arial" w:eastAsia="Arial" w:hAnsi="Arial"/>
          <w:b/>
          <w:bCs/>
          <w:color w:val="C00000"/>
          <w:sz w:val="22"/>
          <w:szCs w:val="22"/>
        </w:rPr>
        <w:t xml:space="preserve">Condition 5: Per-Citizen Messaging Quality at Scale</w:t>
      </w:r>
    </w:p>
    <w:p>
      <w:pPr>
        <w:spacing w:after="200" w:line="320"/>
        <w:jc w:val="both"/>
      </w:pPr>
      <w:r>
        <w:rPr>
          <w:rFonts w:ascii="Georgia" w:cs="Georgia" w:eastAsia="Georgia" w:hAnsi="Georgia"/>
          <w:color w:val="1A1A1A"/>
          <w:sz w:val="22"/>
          <w:szCs w:val="22"/>
        </w:rPr>
        <w:t xml:space="preserve">The optimistic scenario assumes per-citizen messaging reaches platform's natural coalition with specificity and consistency. Per-citizen documents (v2.5) and the coalition mathematics analysis (v2.6) provide the underlying substance; deployment requires mass-distribution communication: video content, infographics, social media, town halls, surrogate speakers.</w:t>
      </w:r>
    </w:p>
    <w:p>
      <w:pPr>
        <w:spacing w:after="200" w:line="320"/>
        <w:jc w:val="both"/>
      </w:pPr>
      <w:r>
        <w:rPr>
          <w:rFonts w:ascii="Georgia" w:cs="Georgia" w:eastAsia="Georgia" w:hAnsi="Georgia"/>
          <w:color w:val="1A1A1A"/>
          <w:sz w:val="22"/>
          <w:szCs w:val="22"/>
        </w:rPr>
        <w:t xml:space="preserve">The shift from “the platform spends $3.2 trillion on healthcare” (federal-program-scale, politically inert) to “this saves your family $9,400 per year” (citizen-scale, politically activating) is the central messaging move. The optimistic scenario assumes this shift is executed effectively across multiple media and at scale.</w:t>
      </w:r>
    </w:p>
    <w:p>
      <w:pPr>
        <w:pStyle w:val="Heading3"/>
        <w:spacing w:after="120" w:before="240"/>
      </w:pPr>
      <w:r>
        <w:rPr>
          <w:rFonts w:ascii="Arial" w:cs="Arial" w:eastAsia="Arial" w:hAnsi="Arial"/>
          <w:b/>
          <w:bCs/>
          <w:color w:val="C00000"/>
          <w:sz w:val="22"/>
          <w:szCs w:val="22"/>
        </w:rPr>
        <w:t xml:space="preserve">Condition 6: Multi-Cycle Organizational Effort</w:t>
      </w:r>
    </w:p>
    <w:p>
      <w:pPr>
        <w:spacing w:after="200" w:line="320"/>
        <w:jc w:val="both"/>
      </w:pPr>
      <w:r>
        <w:rPr>
          <w:rFonts w:ascii="Georgia" w:cs="Georgia" w:eastAsia="Georgia" w:hAnsi="Georgia"/>
          <w:color w:val="1A1A1A"/>
          <w:sz w:val="22"/>
          <w:szCs w:val="22"/>
        </w:rPr>
        <w:t>Major legislation isn't passed in a single campaign cycle. Social Security (1935), Medicare (1965), and ACA (Affordable Care Act) (2010) all reflect multi-cycle organizational efforts that built durable coalitions before legislative passage. The optimistic scenario assumes the platform's proponents commit to a 6-10 year coalition-building horizon, not a single-cycle campaign.</w:t>
      </w:r>
    </w:p>
    <w:p>
      <w:pPr>
        <w:spacing w:after="200" w:line="320"/>
        <w:jc w:val="both"/>
      </w:pPr>
      <w:r>
        <w:rPr>
          <w:rFonts w:ascii="Georgia" w:cs="Georgia" w:eastAsia="Georgia" w:hAnsi="Georgia"/>
          <w:color w:val="1A1A1A"/>
          <w:sz w:val="22"/>
          <w:szCs w:val="22"/>
        </w:rPr>
        <w:t xml:space="preserve">This includes state-level pilots that demonstrate implementation capability, organizational infrastructure that survives across cycles, candidate development pipeline (down-ballot organizing that produces eventual federal-level candidates with platform fluency), and continuous voter education that builds policy literacy in the platform's natural coalition.</w:t>
      </w:r>
    </w:p>
    <w:p>
      <w:pPr>
        <w:pStyle w:val="Heading2"/>
        <w:spacing w:after="160" w:before="360"/>
      </w:pPr>
      <w:r>
        <w:rPr>
          <w:rFonts w:ascii="Arial" w:cs="Arial" w:eastAsia="Arial" w:hAnsi="Arial"/>
          <w:b/>
          <w:bCs/>
          <w:color w:val="1F4E78"/>
          <w:sz w:val="28"/>
          <w:szCs w:val="28"/>
        </w:rPr>
        <w:t xml:space="preserve">Historical Analogs</w:t>
      </w:r>
    </w:p>
    <w:p>
      <w:pPr>
        <w:spacing w:after="200" w:line="320"/>
        <w:jc w:val="both"/>
      </w:pPr>
      <w:r>
        <w:rPr>
          <w:rFonts w:ascii="Georgia" w:cs="Georgia" w:eastAsia="Georgia" w:hAnsi="Georgia"/>
          <w:color w:val="1A1A1A"/>
          <w:sz w:val="22"/>
          <w:szCs w:val="22"/>
        </w:rPr>
        <w:t xml:space="preserve">The optimistic scenario isn't unprecedented. Two historical analogs illuminate what it would look like:</w:t>
      </w:r>
    </w:p>
    <w:p>
      <w:pPr>
        <w:pStyle w:val="Heading3"/>
        <w:spacing w:after="120" w:before="240"/>
      </w:pPr>
      <w:r>
        <w:rPr>
          <w:rFonts w:ascii="Arial" w:cs="Arial" w:eastAsia="Arial" w:hAnsi="Arial"/>
          <w:b/>
          <w:bCs/>
          <w:color w:val="C00000"/>
          <w:sz w:val="22"/>
          <w:szCs w:val="22"/>
        </w:rPr>
        <w:t>FDR (Franklin D. Roosevelt) 1932-1936</w:t>
      </w:r>
    </w:p>
    <w:p>
      <w:pPr>
        <w:spacing w:after="200" w:line="320"/>
        <w:jc w:val="both"/>
      </w:pPr>
      <w:r>
        <w:rPr>
          <w:rFonts w:ascii="Georgia" w:cs="Georgia" w:eastAsia="Georgia" w:hAnsi="Georgia"/>
          <w:color w:val="1A1A1A"/>
          <w:sz w:val="22"/>
          <w:szCs w:val="22"/>
        </w:rPr>
        <w:t xml:space="preserve">FDR's coalition assembly between 1932 and 1936 is the closest historical analog to the platform's optimistic scenario. The 1932 election (during the Great Depression) produced an initial mandate; the 1936 election produced a durable mandate (60.8% popular vote, 46 of 48 states), enabling the New Deal's structural commitments to survive into the postwar era.</w:t>
      </w:r>
    </w:p>
    <w:p>
      <w:pPr>
        <w:spacing w:after="200" w:line="320"/>
        <w:jc w:val="both"/>
      </w:pPr>
      <w:r>
        <w:rPr>
          <w:rFonts w:ascii="Georgia" w:cs="Georgia" w:eastAsia="Georgia" w:hAnsi="Georgia"/>
          <w:color w:val="1A1A1A"/>
          <w:sz w:val="22"/>
          <w:szCs w:val="22"/>
        </w:rPr>
        <w:t xml:space="preserve">The conditions that produced FDR's 1936 mandate map closely to the platform's optimistic scenario conditions: high voter turnout, working-class mobilization that crossed previous partisan lines, effective opposition neutralization (the “alphabet agencies” delivered visible benefits before the 1936 vote), per-citizen messaging that connected New Deal programs to household experience, and multi-cycle organizational effort (the New Deal coalition was built across 1928-1936, not a single cycle).</w:t>
      </w:r>
    </w:p>
    <w:p>
      <w:pPr>
        <w:spacing w:after="200" w:line="320"/>
        <w:jc w:val="both"/>
      </w:pPr>
      <w:r>
        <w:rPr>
          <w:rFonts w:ascii="Georgia" w:cs="Georgia" w:eastAsia="Georgia" w:hAnsi="Georgia"/>
          <w:color w:val="1A1A1A"/>
          <w:sz w:val="22"/>
          <w:szCs w:val="22"/>
        </w:rPr>
        <w:t xml:space="preserve">This analog is informative but not predictive. FDR operated in conditions of acute economic crisis (~25% unemployment, banking system collapse) that focused voter attention on structural reform. Absent equivalent crisis conditions, replicating FDR's coalition assembly is harder. But the structural pattern — multi-cycle effort, working-class mobilization, opposition neutralization through delivery — remains relevant.</w:t>
      </w:r>
    </w:p>
    <w:p>
      <w:pPr>
        <w:pStyle w:val="Heading3"/>
        <w:spacing w:after="120" w:before="240"/>
      </w:pPr>
      <w:r>
        <w:rPr>
          <w:rFonts w:ascii="Arial" w:cs="Arial" w:eastAsia="Arial" w:hAnsi="Arial"/>
          <w:b/>
          <w:bCs/>
          <w:color w:val="C00000"/>
          <w:sz w:val="22"/>
          <w:szCs w:val="22"/>
        </w:rPr>
        <w:t xml:space="preserve">Obama 2008</w:t>
      </w:r>
    </w:p>
    <w:p>
      <w:pPr>
        <w:spacing w:after="200" w:line="320"/>
        <w:jc w:val="both"/>
      </w:pPr>
      <w:r>
        <w:rPr>
          <w:rFonts w:ascii="Georgia" w:cs="Georgia" w:eastAsia="Georgia" w:hAnsi="Georgia"/>
          <w:color w:val="1A1A1A"/>
          <w:sz w:val="22"/>
          <w:szCs w:val="22"/>
        </w:rPr>
        <w:t xml:space="preserve">Obama's 2008 victory (52.9% popular vote, 365 of 538 electoral votes, ~69 million voters) is a more recent analog. The conditions: high turnout (61.6%, then a record for the post-WWII era), strong working-class support (Obama won households earning under $50,000 by 60%-38%), effective opposition messaging that connected to the financial crisis (“change we can believe in” vs. status quo), and multi-cycle organizational effort (Obama's 2008 victory built on 2006 midterm gains and decades of community organizing infrastructure).</w:t>
      </w:r>
    </w:p>
    <w:p>
      <w:pPr>
        <w:spacing w:after="200" w:line="320"/>
        <w:jc w:val="both"/>
      </w:pPr>
      <w:r>
        <w:rPr>
          <w:rFonts w:ascii="Georgia" w:cs="Georgia" w:eastAsia="Georgia" w:hAnsi="Georgia"/>
          <w:color w:val="1A1A1A"/>
          <w:sz w:val="22"/>
          <w:szCs w:val="22"/>
        </w:rPr>
        <w:t xml:space="preserve">The 2008 coalition was not durable in the way FDR's was — the 2010 midterms produced major Republican gains, and ACA passage at ~50% public support proved structurally vulnerable. This is the relevant lesson: even the optimistic scenario doesn't guarantee durability if opposition is well-organized in subsequent cycles. Optimistic scenario passage is necessary but not sufficient for long-term platform durability.</w:t>
      </w:r>
    </w:p>
    <w:p>
      <w:pPr>
        <w:pStyle w:val="Heading2"/>
        <w:spacing w:after="160" w:before="360"/>
      </w:pPr>
      <w:r>
        <w:rPr>
          <w:rFonts w:ascii="Arial" w:cs="Arial" w:eastAsia="Arial" w:hAnsi="Arial"/>
          <w:b/>
          <w:bCs/>
          <w:color w:val="1F4E78"/>
          <w:sz w:val="28"/>
          <w:szCs w:val="28"/>
        </w:rPr>
        <w:t xml:space="preserve">Probability Assessment</w:t>
      </w:r>
    </w:p>
    <w:p>
      <w:pPr>
        <w:spacing w:after="200" w:line="320"/>
        <w:jc w:val="both"/>
      </w:pPr>
      <w:r>
        <w:rPr>
          <w:rFonts w:ascii="Georgia" w:cs="Georgia" w:eastAsia="Georgia" w:hAnsi="Georgia"/>
          <w:color w:val="1A1A1A"/>
          <w:sz w:val="22"/>
          <w:szCs w:val="22"/>
        </w:rPr>
        <w:t xml:space="preserve">The optimistic scenario probability in the Coalition Mathematics analysis is 27.5%. This reflects realistic conditions: the scenario is achievable but not the most likely outcome. The conditions that align it are not historically rare — each has occurred at various points — but their alignment in a single cycle is less common.</w:t>
      </w:r>
    </w:p>
    <w:p>
      <w:pPr>
        <w:spacing w:after="200" w:line="320"/>
        <w:jc w:val="both"/>
      </w:pPr>
      <w:r>
        <w:rPr>
          <w:rFonts w:ascii="Georgia" w:cs="Georgia" w:eastAsia="Georgia" w:hAnsi="Georgia"/>
          <w:color w:val="1A1A1A"/>
          <w:sz w:val="22"/>
          <w:szCs w:val="22"/>
        </w:rPr>
        <w:t xml:space="preserve">The probability is meaningfully influenced by proponent actions. Effective per-citizen messaging, organized voter mobilization, and credible opposition neutralization can shift probability from 27.5% to perhaps 35-40%. Conversely, weak messaging, fragmented organization, and ineffective opposition response can shift probability below 25%. The probability isn't fixed; it responds to the work.</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left w:val="single" w:color="C00000" w:sz="24"/>
              <w:bottom w:val="none"/>
              <w:right w:val="none"/>
            </w:tcBorders>
            <w:tcMar>
              <w:top w:type="dxa" w:w="200"/>
              <w:left w:type="dxa" w:w="360"/>
              <w:bottom w:type="dxa" w:w="200"/>
              <w:right w:type="dxa" w:w="240"/>
            </w:tcMar>
          </w:tcPr>
          <w:p>
            <w:pPr>
              <w:spacing w:line="320"/>
            </w:pPr>
            <w:r>
              <w:rPr>
                <w:rFonts w:ascii="Georgia" w:cs="Georgia" w:eastAsia="Georgia" w:hAnsi="Georgia"/>
                <w:i/>
                <w:iCs/>
                <w:color w:val="1F4E78"/>
                <w:sz w:val="26"/>
                <w:szCs w:val="26"/>
              </w:rPr>
              <w:t xml:space="preserve">“The optimistic scenario isn't an abstract aspiration; it's a specific arithmetic outcome of six specific conditions. Each is achievable but not automatic. Their alignment is the work.”</w:t>
            </w:r>
          </w:p>
        </w:tc>
      </w:tr>
    </w:tbl>
    <w:p>
      <w:r>
        <w:br w:type="page"/>
      </w:r>
    </w:p>
    <w:p>
      <w:pPr>
        <w:pStyle w:val="Heading1"/>
        <w:spacing w:after="240" w:before="480"/>
      </w:pPr>
      <w:r>
        <w:rPr>
          <w:rFonts w:ascii="Arial" w:cs="Arial" w:eastAsia="Arial" w:hAnsi="Arial"/>
          <w:b/>
          <w:bCs/>
          <w:color w:val="1F4E78"/>
          <w:sz w:val="36"/>
          <w:szCs w:val="36"/>
        </w:rPr>
        <w:t xml:space="preserve">Walkthrough 2: Working-Class Conversion</w:t>
      </w:r>
    </w:p>
    <w:p>
      <w:pPr>
        <w:spacing w:after="240" w:line="340"/>
        <w:jc w:val="both"/>
      </w:pPr>
      <w:r>
        <w:rPr>
          <w:rFonts w:ascii="Georgia" w:cs="Georgia" w:eastAsia="Georgia" w:hAnsi="Georgia"/>
          <w:color w:val="1A1A1A"/>
          <w:sz w:val="24"/>
          <w:szCs w:val="24"/>
        </w:rPr>
        <w:t xml:space="preserve">The Coalition Mathematics sensitivity analysis identified working-class beneficiary conversion as the highest-leverage variable: shifting it from 50% to 70% adds approximately 12-18 million supporters — enough to move from pessimistic to optimistic scenario territory. This walkthrough examines what working-class conversion is, why it has eroded, what subsegments behave differently, and what messaging actually works.</w:t>
      </w:r>
    </w:p>
    <w:p>
      <w:pPr>
        <w:pStyle w:val="Heading2"/>
        <w:spacing w:after="160" w:before="360"/>
      </w:pPr>
      <w:r>
        <w:rPr>
          <w:rFonts w:ascii="Arial" w:cs="Arial" w:eastAsia="Arial" w:hAnsi="Arial"/>
          <w:b/>
          <w:bCs/>
          <w:color w:val="1F4E78"/>
          <w:sz w:val="28"/>
          <w:szCs w:val="28"/>
        </w:rPr>
        <w:t xml:space="preserve">The Empirical Picture</w:t>
      </w:r>
    </w:p>
    <w:p>
      <w:pPr>
        <w:spacing w:after="200" w:line="320"/>
        <w:jc w:val="both"/>
      </w:pPr>
      <w:r>
        <w:rPr>
          <w:rFonts w:ascii="Georgia" w:cs="Georgia" w:eastAsia="Georgia" w:hAnsi="Georgia"/>
          <w:color w:val="1A1A1A"/>
          <w:sz w:val="22"/>
          <w:szCs w:val="22"/>
        </w:rPr>
        <w:t xml:space="preserve">Between 2008 and 2024, the Democratic share of working-class voters dropped from approximately 60% to 49%, despite working-class economic interest typically aligning with Democratic policy more than Republican policy. This is not subtle; it is a 22-percentage-point margin shift across 16 years.</w:t>
      </w:r>
    </w:p>
    <w:p>
      <w:pPr>
        <w:spacing w:after="12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2200"/>
        <w:gridCol w:w="3400"/>
        <w:gridCol w:w="3400"/>
      </w:tblGrid>
      <w:tr>
        <w:tc>
          <w:tcPr>
            <w:tcW w:type="dxa" w:w="220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Year</w:t>
            </w:r>
          </w:p>
        </w:tc>
        <w:tc>
          <w:tcPr>
            <w:tcW w:type="dxa" w:w="340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Working-Class Dem Share</w:t>
            </w:r>
          </w:p>
        </w:tc>
        <w:tc>
          <w:tcPr>
            <w:tcW w:type="dxa" w:w="340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Margin vs Republican</w:t>
            </w:r>
          </w:p>
        </w:tc>
      </w:tr>
      <w:tr>
        <w:tc>
          <w:tcPr>
            <w:tcW w:type="dxa" w:w="22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2008 (Obama)</w:t>
            </w:r>
          </w:p>
        </w:tc>
        <w:tc>
          <w:tcPr>
            <w:tcW w:type="dxa" w:w="34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60%</w:t>
            </w:r>
          </w:p>
        </w:tc>
        <w:tc>
          <w:tcPr>
            <w:tcW w:type="dxa" w:w="34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+22pp</w:t>
            </w:r>
          </w:p>
        </w:tc>
      </w:tr>
      <w:tr>
        <w:tc>
          <w:tcPr>
            <w:tcW w:type="dxa" w:w="22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left"/>
            </w:pPr>
            <w:r>
              <w:rPr>
                <w:rFonts w:ascii="Georgia" w:cs="Georgia" w:eastAsia="Georgia" w:hAnsi="Georgia"/>
                <w:color w:val="1A1A1A"/>
                <w:sz w:val="20"/>
                <w:szCs w:val="20"/>
              </w:rPr>
              <w:t xml:space="preserve">2012 (Obama)</w:t>
            </w:r>
          </w:p>
        </w:tc>
        <w:tc>
          <w:tcPr>
            <w:tcW w:type="dxa" w:w="34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60%</w:t>
            </w:r>
          </w:p>
        </w:tc>
        <w:tc>
          <w:tcPr>
            <w:tcW w:type="dxa" w:w="34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+22pp</w:t>
            </w:r>
          </w:p>
        </w:tc>
      </w:tr>
      <w:tr>
        <w:tc>
          <w:tcPr>
            <w:tcW w:type="dxa" w:w="22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2016 (Clinton)</w:t>
            </w:r>
          </w:p>
        </w:tc>
        <w:tc>
          <w:tcPr>
            <w:tcW w:type="dxa" w:w="34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52%</w:t>
            </w:r>
          </w:p>
        </w:tc>
        <w:tc>
          <w:tcPr>
            <w:tcW w:type="dxa" w:w="34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+4pp</w:t>
            </w:r>
          </w:p>
        </w:tc>
      </w:tr>
      <w:tr>
        <w:tc>
          <w:tcPr>
            <w:tcW w:type="dxa" w:w="22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left"/>
            </w:pPr>
            <w:r>
              <w:rPr>
                <w:rFonts w:ascii="Georgia" w:cs="Georgia" w:eastAsia="Georgia" w:hAnsi="Georgia"/>
                <w:color w:val="1A1A1A"/>
                <w:sz w:val="20"/>
                <w:szCs w:val="20"/>
              </w:rPr>
              <w:t xml:space="preserve">2020 (Biden)</w:t>
            </w:r>
          </w:p>
        </w:tc>
        <w:tc>
          <w:tcPr>
            <w:tcW w:type="dxa" w:w="34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53%</w:t>
            </w:r>
          </w:p>
        </w:tc>
        <w:tc>
          <w:tcPr>
            <w:tcW w:type="dxa" w:w="34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+6pp</w:t>
            </w:r>
          </w:p>
        </w:tc>
      </w:tr>
      <w:tr>
        <w:tc>
          <w:tcPr>
            <w:tcW w:type="dxa" w:w="22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2024 (Harris)</w:t>
            </w:r>
          </w:p>
        </w:tc>
        <w:tc>
          <w:tcPr>
            <w:tcW w:type="dxa" w:w="34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48.5%</w:t>
            </w:r>
          </w:p>
        </w:tc>
        <w:tc>
          <w:tcPr>
            <w:tcW w:type="dxa" w:w="34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-0.5pp</w:t>
            </w:r>
          </w:p>
        </w:tc>
      </w:tr>
    </w:tbl>
    <w:p>
      <w:pPr>
        <w:spacing w:after="240"/>
      </w:pPr>
      <w:r>
        <w:t xml:space="preserve"/>
      </w:r>
    </w:p>
    <w:p>
      <w:pPr>
        <w:spacing w:after="200" w:line="320"/>
        <w:jc w:val="both"/>
      </w:pPr>
      <w:r>
        <w:rPr>
          <w:rFonts w:ascii="Georgia" w:cs="Georgia" w:eastAsia="Georgia" w:hAnsi="Georgia"/>
          <w:color w:val="1A1A1A"/>
          <w:sz w:val="22"/>
          <w:szCs w:val="22"/>
        </w:rPr>
        <w:t xml:space="preserve">The platform's projected working-class conversion of 50-70% sits in this empirical range. The pessimistic 50% conversion approximates 2024 levels. The optimistic 70% conversion approximates 2008-2012 levels — not unprecedented, but representing reversal of a 16-year erosion.</w:t>
      </w:r>
    </w:p>
    <w:p>
      <w:pPr>
        <w:pStyle w:val="Heading2"/>
        <w:spacing w:after="160" w:before="360"/>
      </w:pPr>
      <w:r>
        <w:rPr>
          <w:rFonts w:ascii="Arial" w:cs="Arial" w:eastAsia="Arial" w:hAnsi="Arial"/>
          <w:b/>
          <w:bCs/>
          <w:color w:val="1F4E78"/>
          <w:sz w:val="28"/>
          <w:szCs w:val="28"/>
        </w:rPr>
        <w:t xml:space="preserve">Why the Erosion Happened</w:t>
      </w:r>
    </w:p>
    <w:p>
      <w:pPr>
        <w:spacing w:after="200" w:line="320"/>
        <w:jc w:val="both"/>
      </w:pPr>
      <w:r>
        <w:rPr>
          <w:rFonts w:ascii="Georgia" w:cs="Georgia" w:eastAsia="Georgia" w:hAnsi="Georgia"/>
          <w:color w:val="1A1A1A"/>
          <w:sz w:val="22"/>
          <w:szCs w:val="22"/>
        </w:rPr>
        <w:t xml:space="preserve">Multiple research lines converge on a coherent picture of why working-class voters have shifted toward Republicans despite economic interest:</w:t>
      </w:r>
    </w:p>
    <w:p>
      <w:pPr>
        <w:pStyle w:val="Heading3"/>
        <w:spacing w:after="120" w:before="240"/>
      </w:pPr>
      <w:r>
        <w:rPr>
          <w:rFonts w:ascii="Arial" w:cs="Arial" w:eastAsia="Arial" w:hAnsi="Arial"/>
          <w:b/>
          <w:bCs/>
          <w:color w:val="C00000"/>
          <w:sz w:val="22"/>
          <w:szCs w:val="22"/>
        </w:rPr>
        <w:t xml:space="preserve">Cultural and Identity Concerns</w:t>
      </w:r>
    </w:p>
    <w:p>
      <w:pPr>
        <w:spacing w:after="200" w:line="320"/>
        <w:jc w:val="both"/>
      </w:pPr>
      <w:r>
        <w:rPr>
          <w:rFonts w:ascii="Georgia" w:cs="Georgia" w:eastAsia="Georgia" w:hAnsi="Georgia"/>
          <w:color w:val="1A1A1A"/>
          <w:sz w:val="22"/>
          <w:szCs w:val="22"/>
        </w:rPr>
        <w:t xml:space="preserve">Sabato's Crystal Ball analysis (April 2025) found that white working-class voters' Republican support is driven less by economic concerns than by ideological alignment on cultural issues: at each position on the ideological scale, working-class and college-educated white voters voted similarly. The class divide is largely a proxy for the ideological divide; addressing it requires engaging cultural and identity concerns, not just economic ones.</w:t>
      </w:r>
    </w:p>
    <w:p>
      <w:pPr>
        <w:spacing w:after="200" w:line="320"/>
        <w:jc w:val="both"/>
      </w:pPr>
      <w:r>
        <w:rPr>
          <w:rFonts w:ascii="Georgia" w:cs="Georgia" w:eastAsia="Georgia" w:hAnsi="Georgia"/>
          <w:color w:val="1A1A1A"/>
          <w:sz w:val="22"/>
          <w:szCs w:val="22"/>
        </w:rPr>
        <w:t xml:space="preserve">This pattern extends beyond white working-class voters. Hispanic working-class voters shifted toward Trump from 2020 to 2024 partly on economic concerns (inflation), but also on cultural concerns (immigration framing, masculine identity appeals, anti-socialist messaging in Spanish-language media). Black working-class voters remained majority-Democratic but with significant erosion among younger Black men.</w:t>
      </w:r>
    </w:p>
    <w:p>
      <w:pPr>
        <w:pStyle w:val="Heading3"/>
        <w:spacing w:after="120" w:before="240"/>
      </w:pPr>
      <w:r>
        <w:rPr>
          <w:rFonts w:ascii="Arial" w:cs="Arial" w:eastAsia="Arial" w:hAnsi="Arial"/>
          <w:b/>
          <w:bCs/>
          <w:color w:val="C00000"/>
          <w:sz w:val="22"/>
          <w:szCs w:val="22"/>
        </w:rPr>
        <w:t xml:space="preserve">Information Environment and Trust Deficit</w:t>
      </w:r>
    </w:p>
    <w:p>
      <w:pPr>
        <w:spacing w:after="200" w:line="320"/>
        <w:jc w:val="both"/>
      </w:pPr>
      <w:r>
        <w:rPr>
          <w:rFonts w:ascii="Georgia" w:cs="Georgia" w:eastAsia="Georgia" w:hAnsi="Georgia"/>
          <w:color w:val="1A1A1A"/>
          <w:sz w:val="22"/>
          <w:szCs w:val="22"/>
        </w:rPr>
        <w:t xml:space="preserve">Decades of policy promises that didn't visibly materialize have produced cumulative skepticism. Working-class voters may agree that healthcare costs are too high, that wages are stagnant, that childcare is unaffordable — and still distrust that any specific policy proposal will actually deliver relief. The trust deficit is platform-agnostic: it applies to Democratic and Republican proposals alike.</w:t>
      </w:r>
    </w:p>
    <w:p>
      <w:pPr>
        <w:spacing w:after="200" w:line="320"/>
        <w:jc w:val="both"/>
      </w:pPr>
      <w:r>
        <w:rPr>
          <w:rFonts w:ascii="Georgia" w:cs="Georgia" w:eastAsia="Georgia" w:hAnsi="Georgia"/>
          <w:color w:val="1A1A1A"/>
          <w:sz w:val="22"/>
          <w:szCs w:val="22"/>
        </w:rPr>
        <w:t xml:space="preserve">Compounding this is information environment fragmentation. Working-class voters often consume political information through different channels than policy professionals: workplace conversations, partisan media, social media algorithms, religious communities, fraternal organizations. Each information environment has its own framing of policy proposals; per-citizen messaging that resonates in one environment may not reach others.</w:t>
      </w:r>
    </w:p>
    <w:p>
      <w:pPr>
        <w:pStyle w:val="Heading3"/>
        <w:spacing w:after="120" w:before="240"/>
      </w:pPr>
      <w:r>
        <w:rPr>
          <w:rFonts w:ascii="Arial" w:cs="Arial" w:eastAsia="Arial" w:hAnsi="Arial"/>
          <w:b/>
          <w:bCs/>
          <w:color w:val="C00000"/>
          <w:sz w:val="22"/>
          <w:szCs w:val="22"/>
        </w:rPr>
        <w:t xml:space="preserve">Democratic Party Brand Erosion</w:t>
      </w:r>
    </w:p>
    <w:p>
      <w:pPr>
        <w:spacing w:after="200" w:line="320"/>
        <w:jc w:val="both"/>
      </w:pPr>
      <w:r>
        <w:rPr>
          <w:rFonts w:ascii="Georgia" w:cs="Georgia" w:eastAsia="Georgia" w:hAnsi="Georgia"/>
          <w:color w:val="1A1A1A"/>
          <w:sz w:val="22"/>
          <w:szCs w:val="22"/>
        </w:rPr>
        <w:t xml:space="preserve">Bernie Sanders, in post-2024 commentary: “it should come as no great surprise that a Democratic Party which has abandoned working-class people would find that the working class has abandoned them.” This framing captures a real perception: many working-class voters perceive Democrats as a party of college-educated professionals whose economic interests and cultural concerns differ from theirs, regardless of specific policy proposals.</w:t>
      </w:r>
    </w:p>
    <w:p>
      <w:pPr>
        <w:spacing w:after="200" w:line="320"/>
        <w:jc w:val="both"/>
      </w:pPr>
      <w:r>
        <w:rPr>
          <w:rFonts w:ascii="Georgia" w:cs="Georgia" w:eastAsia="Georgia" w:hAnsi="Georgia"/>
          <w:color w:val="1A1A1A"/>
          <w:sz w:val="22"/>
          <w:szCs w:val="22"/>
        </w:rPr>
        <w:t xml:space="preserve">The platform's coalition strategy must address this: working-class voters who perceive any platform as “elite” or “coming from somewhere else” may not engage with its substance regardless of how favorable the per-citizen arithmetic is. This is a brand and messenger problem, not just a substance problem.</w:t>
      </w:r>
    </w:p>
    <w:p>
      <w:pPr>
        <w:pStyle w:val="Heading2"/>
        <w:spacing w:after="160" w:before="360"/>
      </w:pPr>
      <w:r>
        <w:rPr>
          <w:rFonts w:ascii="Arial" w:cs="Arial" w:eastAsia="Arial" w:hAnsi="Arial"/>
          <w:b/>
          <w:bCs/>
          <w:color w:val="1F4E78"/>
          <w:sz w:val="28"/>
          <w:szCs w:val="28"/>
        </w:rPr>
        <w:t xml:space="preserve">Subsegments Within Working Class</w:t>
      </w:r>
    </w:p>
    <w:p>
      <w:pPr>
        <w:spacing w:after="200" w:line="320"/>
        <w:jc w:val="both"/>
      </w:pPr>
      <w:r>
        <w:rPr>
          <w:rFonts w:ascii="Georgia" w:cs="Georgia" w:eastAsia="Georgia" w:hAnsi="Georgia"/>
          <w:color w:val="1A1A1A"/>
          <w:sz w:val="22"/>
          <w:szCs w:val="22"/>
        </w:rPr>
        <w:t xml:space="preserve">“Working class” is not a monolith. Different subsegments have different baselines, different conversion potential, and different effective messaging. The platform's coalition strategy must distinguish them:</w:t>
      </w:r>
    </w:p>
    <w:p>
      <w:pPr>
        <w:spacing w:after="12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2600"/>
        <w:gridCol w:w="1500"/>
        <w:gridCol w:w="1900"/>
        <w:gridCol w:w="3000"/>
      </w:tblGrid>
      <w:tr>
        <w:tc>
          <w:tcPr>
            <w:tcW w:type="dxa" w:w="260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Subsegment</w:t>
            </w:r>
          </w:p>
        </w:tc>
        <w:tc>
          <w:tcPr>
            <w:tcW w:type="dxa" w:w="150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2024 Dem Share</w:t>
            </w:r>
          </w:p>
        </w:tc>
        <w:tc>
          <w:tcPr>
            <w:tcW w:type="dxa" w:w="190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2026 Direction</w:t>
            </w:r>
          </w:p>
        </w:tc>
        <w:tc>
          <w:tcPr>
            <w:tcW w:type="dxa" w:w="300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Platform Conversion Potential</w:t>
            </w:r>
          </w:p>
        </w:tc>
      </w:tr>
      <w:tr>
        <w:tc>
          <w:tcPr>
            <w:tcW w:type="dxa" w:w="26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White working class (no degree)</w:t>
            </w:r>
          </w:p>
        </w:tc>
        <w:tc>
          <w:tcPr>
            <w:tcW w:type="dxa" w:w="1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~30%</w:t>
            </w:r>
          </w:p>
        </w:tc>
        <w:tc>
          <w:tcPr>
            <w:tcW w:type="dxa" w:w="19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Stable Republican</w:t>
            </w:r>
          </w:p>
        </w:tc>
        <w:tc>
          <w:tcPr>
            <w:tcW w:type="dxa" w:w="30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Lower; ceiling perhaps 35-40%</w:t>
            </w:r>
          </w:p>
        </w:tc>
      </w:tr>
      <w:tr>
        <w:tc>
          <w:tcPr>
            <w:tcW w:type="dxa" w:w="26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left"/>
            </w:pPr>
            <w:r>
              <w:rPr>
                <w:rFonts w:ascii="Georgia" w:cs="Georgia" w:eastAsia="Georgia" w:hAnsi="Georgia"/>
                <w:color w:val="1A1A1A"/>
                <w:sz w:val="20"/>
                <w:szCs w:val="20"/>
              </w:rPr>
              <w:t xml:space="preserve">Black working class</w:t>
            </w:r>
          </w:p>
        </w:tc>
        <w:tc>
          <w:tcPr>
            <w:tcW w:type="dxa" w:w="15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~85%</w:t>
            </w:r>
          </w:p>
        </w:tc>
        <w:tc>
          <w:tcPr>
            <w:tcW w:type="dxa" w:w="19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Stable Democratic</w:t>
            </w:r>
          </w:p>
        </w:tc>
        <w:tc>
          <w:tcPr>
            <w:tcW w:type="dxa" w:w="30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Higher; floor 75-80%</w:t>
            </w:r>
          </w:p>
        </w:tc>
      </w:tr>
      <w:tr>
        <w:tc>
          <w:tcPr>
            <w:tcW w:type="dxa" w:w="26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Hispanic working class</w:t>
            </w:r>
          </w:p>
        </w:tc>
        <w:tc>
          <w:tcPr>
            <w:tcW w:type="dxa" w:w="1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~52%</w:t>
            </w:r>
          </w:p>
        </w:tc>
        <w:tc>
          <w:tcPr>
            <w:tcW w:type="dxa" w:w="19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Reverting Dem in 2025-26</w:t>
            </w:r>
          </w:p>
        </w:tc>
        <w:tc>
          <w:tcPr>
            <w:tcW w:type="dxa" w:w="30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Volatile; 55-65% range</w:t>
            </w:r>
          </w:p>
        </w:tc>
      </w:tr>
      <w:tr>
        <w:tc>
          <w:tcPr>
            <w:tcW w:type="dxa" w:w="26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left"/>
            </w:pPr>
            <w:r>
              <w:rPr>
                <w:rFonts w:ascii="Georgia" w:cs="Georgia" w:eastAsia="Georgia" w:hAnsi="Georgia"/>
                <w:color w:val="1A1A1A"/>
                <w:sz w:val="20"/>
                <w:szCs w:val="20"/>
              </w:rPr>
              <w:t xml:space="preserve">Asian working class (varied)</w:t>
            </w:r>
          </w:p>
        </w:tc>
        <w:tc>
          <w:tcPr>
            <w:tcW w:type="dxa" w:w="15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~60%</w:t>
            </w:r>
          </w:p>
        </w:tc>
        <w:tc>
          <w:tcPr>
            <w:tcW w:type="dxa" w:w="19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Mixed</w:t>
            </w:r>
          </w:p>
        </w:tc>
        <w:tc>
          <w:tcPr>
            <w:tcW w:type="dxa" w:w="30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60-70% range</w:t>
            </w:r>
          </w:p>
        </w:tc>
      </w:tr>
      <w:tr>
        <w:tc>
          <w:tcPr>
            <w:tcW w:type="dxa" w:w="26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Rural working class</w:t>
            </w:r>
          </w:p>
        </w:tc>
        <w:tc>
          <w:tcPr>
            <w:tcW w:type="dxa" w:w="15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~25%</w:t>
            </w:r>
          </w:p>
        </w:tc>
        <w:tc>
          <w:tcPr>
            <w:tcW w:type="dxa" w:w="19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Stable Republican</w:t>
            </w:r>
          </w:p>
        </w:tc>
        <w:tc>
          <w:tcPr>
            <w:tcW w:type="dxa" w:w="30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Lower; 30-35%</w:t>
            </w:r>
          </w:p>
        </w:tc>
      </w:tr>
      <w:tr>
        <w:tc>
          <w:tcPr>
            <w:tcW w:type="dxa" w:w="26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left"/>
            </w:pPr>
            <w:r>
              <w:rPr>
                <w:rFonts w:ascii="Georgia" w:cs="Georgia" w:eastAsia="Georgia" w:hAnsi="Georgia"/>
                <w:color w:val="1A1A1A"/>
                <w:sz w:val="20"/>
                <w:szCs w:val="20"/>
              </w:rPr>
              <w:t xml:space="preserve">Urban working class</w:t>
            </w:r>
          </w:p>
        </w:tc>
        <w:tc>
          <w:tcPr>
            <w:tcW w:type="dxa" w:w="15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~65%</w:t>
            </w:r>
          </w:p>
        </w:tc>
        <w:tc>
          <w:tcPr>
            <w:tcW w:type="dxa" w:w="19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Mixed</w:t>
            </w:r>
          </w:p>
        </w:tc>
        <w:tc>
          <w:tcPr>
            <w:tcW w:type="dxa" w:w="30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60-70% range</w:t>
            </w:r>
          </w:p>
        </w:tc>
      </w:tr>
    </w:tbl>
    <w:p>
      <w:pPr>
        <w:spacing w:after="240"/>
      </w:pPr>
      <w:r>
        <w:t xml:space="preserve"/>
      </w:r>
    </w:p>
    <w:p>
      <w:pPr>
        <w:spacing w:after="200" w:line="320"/>
        <w:jc w:val="both"/>
      </w:pPr>
      <w:r>
        <w:rPr>
          <w:rFonts w:ascii="Georgia" w:cs="Georgia" w:eastAsia="Georgia" w:hAnsi="Georgia"/>
          <w:color w:val="1A1A1A"/>
          <w:sz w:val="22"/>
          <w:szCs w:val="22"/>
        </w:rPr>
        <w:t xml:space="preserve">The aggregate working-class conversion rate is a weighted average across these subsegments. Different proponent strategies yield different aggregate outcomes:</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8F4E8"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Strategic options for working-class coalition</w:t>
            </w:r>
          </w:p>
          <w:p>
            <w:pPr>
              <w:spacing w:after="100" w:line="280"/>
            </w:pPr>
            <w:r>
              <w:rPr>
                <w:rFonts w:ascii="Georgia" w:cs="Georgia" w:eastAsia="Georgia" w:hAnsi="Georgia"/>
                <w:color w:val="1A1A1A"/>
                <w:sz w:val="21"/>
                <w:szCs w:val="21"/>
              </w:rPr>
              <w:t xml:space="preserve">•  Pure base mobilization: maximize turnout among Black, Hispanic, and urban working-class voters. Yields ~55-60% aggregate conversion. Achievable but ceiling-limited; doesn't reach optimistic scenario.</w:t>
            </w:r>
          </w:p>
          <w:p>
            <w:pPr>
              <w:spacing w:after="100" w:line="280"/>
            </w:pPr>
            <w:r>
              <w:rPr>
                <w:rFonts w:ascii="Georgia" w:cs="Georgia" w:eastAsia="Georgia" w:hAnsi="Georgia"/>
                <w:color w:val="1A1A1A"/>
                <w:sz w:val="21"/>
                <w:szCs w:val="21"/>
              </w:rPr>
              <w:t xml:space="preserve">•  Cross-cultural messaging: combine base mobilization with serious effort to reach white working-class voters on shared economic grievances (healthcare, retirement security, family financial security). Yields ~60-65% aggregate. Optimistic scenario territory.</w:t>
            </w:r>
          </w:p>
          <w:p>
            <w:pPr>
              <w:spacing w:after="100" w:line="280"/>
            </w:pPr>
            <w:r>
              <w:rPr>
                <w:rFonts w:ascii="Georgia" w:cs="Georgia" w:eastAsia="Georgia" w:hAnsi="Georgia"/>
                <w:color w:val="1A1A1A"/>
                <w:sz w:val="21"/>
                <w:szCs w:val="21"/>
              </w:rPr>
              <w:t xml:space="preserve">•  Stretch coalition: combine cross-cultural messaging with rural-specific outreach (Path A broadband universal, agricultural community concerns, retirement security in declining-population regions). Yields ~65-70% aggregate. Approaches maximum plausible scenario.</w:t>
            </w:r>
          </w:p>
          <w:p>
            <w:pPr>
              <w:spacing w:after="100" w:line="280"/>
            </w:pPr>
            <w:r>
              <w:rPr>
                <w:rFonts w:ascii="Georgia" w:cs="Georgia" w:eastAsia="Georgia" w:hAnsi="Georgia"/>
                <w:color w:val="1A1A1A"/>
                <w:sz w:val="21"/>
                <w:szCs w:val="21"/>
              </w:rPr>
              <w:t xml:space="preserve">•  Partisan-coded approach: messaging that explicitly contrasts platform with Republican policy frames the choice in identity-based terms. Activates base but ceiling-limits cross-coalition appeal. Yields ~50-55%.</w:t>
            </w:r>
          </w:p>
        </w:tc>
      </w:tr>
    </w:tbl>
    <w:p>
      <w:pPr>
        <w:pStyle w:val="Heading2"/>
        <w:spacing w:after="160" w:before="360"/>
      </w:pPr>
      <w:r>
        <w:rPr>
          <w:rFonts w:ascii="Arial" w:cs="Arial" w:eastAsia="Arial" w:hAnsi="Arial"/>
          <w:b/>
          <w:bCs/>
          <w:color w:val="1F4E78"/>
          <w:sz w:val="28"/>
          <w:szCs w:val="28"/>
        </w:rPr>
        <w:t xml:space="preserve">Messaging That Works (Per Research)</w:t>
      </w:r>
    </w:p>
    <w:p>
      <w:pPr>
        <w:spacing w:after="200" w:line="320"/>
        <w:jc w:val="both"/>
      </w:pPr>
      <w:r>
        <w:rPr>
          <w:rFonts w:ascii="Georgia" w:cs="Georgia" w:eastAsia="Georgia" w:hAnsi="Georgia"/>
          <w:color w:val="1A1A1A"/>
          <w:sz w:val="22"/>
          <w:szCs w:val="22"/>
        </w:rPr>
        <w:t xml:space="preserve">Research on working-class voter messaging produces several consistent findings:</w:t>
      </w:r>
    </w:p>
    <w:p>
      <w:pPr>
        <w:pStyle w:val="Heading3"/>
        <w:spacing w:after="120" w:before="240"/>
      </w:pPr>
      <w:r>
        <w:rPr>
          <w:rFonts w:ascii="Arial" w:cs="Arial" w:eastAsia="Arial" w:hAnsi="Arial"/>
          <w:b/>
          <w:bCs/>
          <w:color w:val="C00000"/>
          <w:sz w:val="22"/>
          <w:szCs w:val="22"/>
        </w:rPr>
        <w:t xml:space="preserve">Specifics Beat Aggregates</w:t>
      </w:r>
    </w:p>
    <w:p>
      <w:pPr>
        <w:spacing w:after="200" w:line="320"/>
        <w:jc w:val="both"/>
      </w:pPr>
      <w:r>
        <w:rPr>
          <w:rFonts w:ascii="Georgia" w:cs="Georgia" w:eastAsia="Georgia" w:hAnsi="Georgia"/>
          <w:color w:val="1A1A1A"/>
          <w:sz w:val="22"/>
          <w:szCs w:val="22"/>
        </w:rPr>
        <w:t xml:space="preserve">Working-class voters respond to specific household impact, not aggregate federal program scale. “Saves your family $9,400 per year” activates in ways that “$3.2 trillion healthcare program” does not, regardless of which ultimately produces the larger benefit. The platform's per-citizen analysis (v2.5) is the substantive material; effective messaging deploys per-citizen specifics in voter-facing communication.</w:t>
      </w:r>
    </w:p>
    <w:p>
      <w:pPr>
        <w:pStyle w:val="Heading3"/>
        <w:spacing w:after="120" w:before="240"/>
      </w:pPr>
      <w:r>
        <w:rPr>
          <w:rFonts w:ascii="Arial" w:cs="Arial" w:eastAsia="Arial" w:hAnsi="Arial"/>
          <w:b/>
          <w:bCs/>
          <w:color w:val="C00000"/>
          <w:sz w:val="22"/>
          <w:szCs w:val="22"/>
        </w:rPr>
        <w:t xml:space="preserve">Family Frames Work Better Than Individual Frames</w:t>
      </w:r>
    </w:p>
    <w:p>
      <w:pPr>
        <w:spacing w:after="200" w:line="320"/>
        <w:jc w:val="both"/>
      </w:pPr>
      <w:r>
        <w:rPr>
          <w:rFonts w:ascii="Georgia" w:cs="Georgia" w:eastAsia="Georgia" w:hAnsi="Georgia"/>
          <w:color w:val="1A1A1A"/>
          <w:sz w:val="22"/>
          <w:szCs w:val="22"/>
        </w:rPr>
        <w:t xml:space="preserve">Working-class voters often think of economic interest in family terms rather than individual terms: “what does this do for my family” resonates more than “what does this do for me.” The platform's per-citizen analysis includes family-type breakdowns specifically to support family-frame messaging.</w:t>
      </w:r>
    </w:p>
    <w:p>
      <w:pPr>
        <w:pStyle w:val="Heading3"/>
        <w:spacing w:after="120" w:before="240"/>
      </w:pPr>
      <w:r>
        <w:rPr>
          <w:rFonts w:ascii="Arial" w:cs="Arial" w:eastAsia="Arial" w:hAnsi="Arial"/>
          <w:b/>
          <w:bCs/>
          <w:color w:val="C00000"/>
          <w:sz w:val="22"/>
          <w:szCs w:val="22"/>
        </w:rPr>
        <w:t xml:space="preserve">Concrete Examples Beat Abstract Principles</w:t>
      </w:r>
    </w:p>
    <w:p>
      <w:pPr>
        <w:spacing w:after="200" w:line="320"/>
        <w:jc w:val="both"/>
      </w:pPr>
      <w:r>
        <w:rPr>
          <w:rFonts w:ascii="Georgia" w:cs="Georgia" w:eastAsia="Georgia" w:hAnsi="Georgia"/>
          <w:color w:val="1A1A1A"/>
          <w:sz w:val="22"/>
          <w:szCs w:val="22"/>
        </w:rPr>
        <w:t xml:space="preserve">“This pays for childcare so my daughter can go back to work” resonates more than “universal childcare access.” “My mom doesn't have to choose between medication and groceries” resonates more than “affordable healthcare.” The platform's per-citizen analysis enables concrete examples; messaging must select and deploy them.</w:t>
      </w:r>
    </w:p>
    <w:p>
      <w:pPr>
        <w:pStyle w:val="Heading3"/>
        <w:spacing w:after="120" w:before="240"/>
      </w:pPr>
      <w:r>
        <w:rPr>
          <w:rFonts w:ascii="Arial" w:cs="Arial" w:eastAsia="Arial" w:hAnsi="Arial"/>
          <w:b/>
          <w:bCs/>
          <w:color w:val="C00000"/>
          <w:sz w:val="22"/>
          <w:szCs w:val="22"/>
        </w:rPr>
        <w:t xml:space="preserve">Messengers Matter as Much as Messages</w:t>
      </w:r>
    </w:p>
    <w:p>
      <w:pPr>
        <w:spacing w:after="200" w:line="320"/>
        <w:jc w:val="both"/>
      </w:pPr>
      <w:r>
        <w:rPr>
          <w:rFonts w:ascii="Georgia" w:cs="Georgia" w:eastAsia="Georgia" w:hAnsi="Georgia"/>
          <w:color w:val="1A1A1A"/>
          <w:sz w:val="22"/>
          <w:szCs w:val="22"/>
        </w:rPr>
        <w:t xml:space="preserve">Research consistently shows that the messenger affects message reception more than message content. Working-class voters respond more to messengers who share their cultural background, geographic origin, and life experience than to messengers who don't, regardless of message content. The platform's coalition strategy must include messenger development — not just content development.</w:t>
      </w:r>
    </w:p>
    <w:p>
      <w:pPr>
        <w:pStyle w:val="Heading3"/>
        <w:spacing w:after="120" w:before="240"/>
      </w:pPr>
      <w:r>
        <w:rPr>
          <w:rFonts w:ascii="Arial" w:cs="Arial" w:eastAsia="Arial" w:hAnsi="Arial"/>
          <w:b/>
          <w:bCs/>
          <w:color w:val="C00000"/>
          <w:sz w:val="22"/>
          <w:szCs w:val="22"/>
        </w:rPr>
        <w:t xml:space="preserve">Acknowledge Limitations Honestly</w:t>
      </w:r>
    </w:p>
    <w:p>
      <w:pPr>
        <w:spacing w:after="200" w:line="320"/>
        <w:jc w:val="both"/>
      </w:pPr>
      <w:r>
        <w:rPr>
          <w:rFonts w:ascii="Georgia" w:cs="Georgia" w:eastAsia="Georgia" w:hAnsi="Georgia"/>
          <w:color w:val="1A1A1A"/>
          <w:sz w:val="22"/>
          <w:szCs w:val="22"/>
        </w:rPr>
        <w:t xml:space="preserve">Working-class voters distrust messages that claim only benefits with no costs or trade-offs. Platforms that acknowledge what they don't address — immigration, cultural concerns, identity questions — receive more trust than platforms that claim to address everything. The platform's honest acknowledgment of what it doesn't include (cultural and identity questions, foreign policy, criminal justice reform) is a credibility asset, not a weakness.</w:t>
      </w:r>
    </w:p>
    <w:p>
      <w:pPr>
        <w:pStyle w:val="Heading2"/>
        <w:spacing w:after="160" w:before="360"/>
      </w:pPr>
      <w:r>
        <w:rPr>
          <w:rFonts w:ascii="Arial" w:cs="Arial" w:eastAsia="Arial" w:hAnsi="Arial"/>
          <w:b/>
          <w:bCs/>
          <w:color w:val="1F4E78"/>
          <w:sz w:val="28"/>
          <w:szCs w:val="28"/>
        </w:rPr>
        <w:t xml:space="preserve">Messaging That Doesn't Work</w:t>
      </w:r>
    </w:p>
    <w:p>
      <w:pPr>
        <w:spacing w:after="200" w:line="320"/>
        <w:jc w:val="both"/>
      </w:pPr>
      <w:r>
        <w:rPr>
          <w:rFonts w:ascii="Georgia" w:cs="Georgia" w:eastAsia="Georgia" w:hAnsi="Georgia"/>
          <w:color w:val="1A1A1A"/>
          <w:sz w:val="22"/>
          <w:szCs w:val="22"/>
        </w:rPr>
        <w:t xml:space="preserve">Equally important: research identifies several common messaging patterns that systematically underperform with working-class audiences:</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8E8E8"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Anti-patterns to avoid</w:t>
            </w:r>
          </w:p>
          <w:p>
            <w:pPr>
              <w:spacing w:after="100" w:line="280"/>
            </w:pPr>
            <w:r>
              <w:rPr>
                <w:rFonts w:ascii="Georgia" w:cs="Georgia" w:eastAsia="Georgia" w:hAnsi="Georgia"/>
                <w:color w:val="1A1A1A"/>
                <w:sz w:val="21"/>
                <w:szCs w:val="21"/>
              </w:rPr>
              <w:t xml:space="preserve">•  Technocratic framing: emphasizing program structure, federal scale, or implementation mechanisms rather than household impact. Activates policy-professional audiences; deactivates working-class audiences.</w:t>
            </w:r>
          </w:p>
          <w:p>
            <w:pPr>
              <w:spacing w:after="100" w:line="280"/>
            </w:pPr>
            <w:r>
              <w:rPr>
                <w:rFonts w:ascii="Georgia" w:cs="Georgia" w:eastAsia="Georgia" w:hAnsi="Georgia"/>
                <w:color w:val="1A1A1A"/>
                <w:sz w:val="21"/>
                <w:szCs w:val="21"/>
              </w:rPr>
              <w:t xml:space="preserve">•  Identity-coded language: framing the platform in academic, ideological, or progressive-coded terms (“equity,” “social justice,” “structural inequality”) signals tribal identity and reduces cross-coalition appeal. Substance can be retained without coded language.</w:t>
            </w:r>
          </w:p>
          <w:p>
            <w:pPr>
              <w:spacing w:after="100" w:line="280"/>
            </w:pPr>
            <w:r>
              <w:rPr>
                <w:rFonts w:ascii="Georgia" w:cs="Georgia" w:eastAsia="Georgia" w:hAnsi="Georgia"/>
                <w:color w:val="1A1A1A"/>
                <w:sz w:val="21"/>
                <w:szCs w:val="21"/>
              </w:rPr>
              <w:t xml:space="preserve">•  Punching down on working-class concerns: dismissing immigration, cultural, or identity concerns as “distraction” or “manipulation” actively repels working-class voters who hold these concerns sincerely. Acknowledging that platform doesn't address all concerns is more effective than dismissing the concerns.</w:t>
            </w:r>
          </w:p>
          <w:p>
            <w:pPr>
              <w:spacing w:after="100" w:line="280"/>
            </w:pPr>
            <w:r>
              <w:rPr>
                <w:rFonts w:ascii="Georgia" w:cs="Georgia" w:eastAsia="Georgia" w:hAnsi="Georgia"/>
                <w:color w:val="1A1A1A"/>
                <w:sz w:val="21"/>
                <w:szCs w:val="21"/>
              </w:rPr>
              <w:t xml:space="preserve">•  Promise overflow: messaging that claims the platform will solve every problem produces skepticism. Bounded, specific claims with documented substantiation produce more trust than maximum claims.</w:t>
            </w:r>
          </w:p>
          <w:p>
            <w:pPr>
              <w:spacing w:after="100" w:line="280"/>
            </w:pPr>
            <w:r>
              <w:rPr>
                <w:rFonts w:ascii="Georgia" w:cs="Georgia" w:eastAsia="Georgia" w:hAnsi="Georgia"/>
                <w:color w:val="1A1A1A"/>
                <w:sz w:val="21"/>
                <w:szCs w:val="21"/>
              </w:rPr>
              <w:t xml:space="preserve">•  Personal-blame framing: messaging that suggests opponents of the platform are voting against their interests because they're misinformed or manipulated activates defensive responses rather than persuasion. Better: messaging that respects voter intelligence and presents specific information.</w:t>
            </w:r>
          </w:p>
        </w:tc>
      </w:tr>
    </w:tbl>
    <w:p>
      <w:pPr>
        <w:pStyle w:val="Heading2"/>
        <w:spacing w:after="160" w:before="360"/>
      </w:pPr>
      <w:r>
        <w:rPr>
          <w:rFonts w:ascii="Arial" w:cs="Arial" w:eastAsia="Arial" w:hAnsi="Arial"/>
          <w:b/>
          <w:bCs/>
          <w:color w:val="1F4E78"/>
          <w:sz w:val="28"/>
          <w:szCs w:val="28"/>
        </w:rPr>
        <w:t xml:space="preserve">Realistic Ceiling and Floor</w:t>
      </w:r>
    </w:p>
    <w:p>
      <w:pPr>
        <w:spacing w:after="200" w:line="320"/>
        <w:jc w:val="both"/>
      </w:pPr>
      <w:r>
        <w:rPr>
          <w:rFonts w:ascii="Georgia" w:cs="Georgia" w:eastAsia="Georgia" w:hAnsi="Georgia"/>
          <w:color w:val="1A1A1A"/>
          <w:sz w:val="22"/>
          <w:szCs w:val="22"/>
        </w:rPr>
        <w:t xml:space="preserve">After accounting for empirical patterns, the realistic working-class conversion range is approximately 50-70% under normal political conditions. Below 50% requires unusually adverse conditions (massive opposition advantage, weak messaging, economic boom that defuses platform urgency). Above 70% requires unusually favorable conditions (acute economic crisis focusing voter attention, exceptional candidate quality, opposition collapse).</w:t>
      </w:r>
    </w:p>
    <w:p>
      <w:pPr>
        <w:spacing w:after="200" w:line="320"/>
        <w:jc w:val="both"/>
      </w:pPr>
      <w:r>
        <w:rPr>
          <w:rFonts w:ascii="Georgia" w:cs="Georgia" w:eastAsia="Georgia" w:hAnsi="Georgia"/>
          <w:color w:val="1A1A1A"/>
          <w:sz w:val="22"/>
          <w:szCs w:val="22"/>
        </w:rPr>
        <w:t xml:space="preserve">The optimistic scenario assumes 65-70% conversion — toward but not at the ceiling. Reaching this requires sustained effort across messaging, messenger development, organizational capacity, and multi-cycle commitment. It's achievable; it's not automatic.</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left w:val="single" w:color="C00000" w:sz="24"/>
              <w:bottom w:val="none"/>
              <w:right w:val="none"/>
            </w:tcBorders>
            <w:tcMar>
              <w:top w:type="dxa" w:w="200"/>
              <w:left w:type="dxa" w:w="360"/>
              <w:bottom w:type="dxa" w:w="200"/>
              <w:right w:type="dxa" w:w="240"/>
            </w:tcMar>
          </w:tcPr>
          <w:p>
            <w:pPr>
              <w:spacing w:line="320"/>
            </w:pPr>
            <w:r>
              <w:rPr>
                <w:rFonts w:ascii="Georgia" w:cs="Georgia" w:eastAsia="Georgia" w:hAnsi="Georgia"/>
                <w:i/>
                <w:iCs/>
                <w:color w:val="1F4E78"/>
                <w:sz w:val="26"/>
                <w:szCs w:val="26"/>
              </w:rPr>
              <w:t xml:space="preserve">“Working-class conversion is not destiny. It's the product of messaging quality, messenger development, organizational effort, and political conditions — most of which proponents can influence with sustained effort.”</w:t>
            </w:r>
          </w:p>
        </w:tc>
      </w:tr>
    </w:tbl>
    <w:p>
      <w:r>
        <w:br w:type="page"/>
      </w:r>
    </w:p>
    <w:p>
      <w:pPr>
        <w:pStyle w:val="Heading1"/>
        <w:spacing w:after="240" w:before="480"/>
      </w:pPr>
      <w:r>
        <w:rPr>
          <w:rFonts w:ascii="Arial" w:cs="Arial" w:eastAsia="Arial" w:hAnsi="Arial"/>
          <w:b/>
          <w:bCs/>
          <w:color w:val="1F4E78"/>
          <w:sz w:val="36"/>
          <w:szCs w:val="36"/>
        </w:rPr>
        <w:t xml:space="preserve">Walkthrough 3: Geographic Distribution</w:t>
      </w:r>
    </w:p>
    <w:p>
      <w:pPr>
        <w:spacing w:after="240" w:line="340"/>
        <w:jc w:val="both"/>
      </w:pPr>
      <w:r>
        <w:rPr>
          <w:rFonts w:ascii="Georgia" w:cs="Georgia" w:eastAsia="Georgia" w:hAnsi="Georgia"/>
          <w:color w:val="1A1A1A"/>
          <w:sz w:val="24"/>
          <w:szCs w:val="24"/>
        </w:rPr>
        <w:t xml:space="preserve">National popular vote totals are not the same as institutional outcomes. The Senate's structure (two senators per state regardless of population) and the Electoral College's state-weighted dynamics mean that a national supporter majority can fail to produce institutional majorities. This walkthrough examines whether 88-100 million national supporters translate to the institutional outcomes the platform requires — specifically a Senate majority sufficient to pass legislation.</w:t>
      </w:r>
    </w:p>
    <w:p>
      <w:pPr>
        <w:pStyle w:val="Heading2"/>
        <w:spacing w:after="160" w:before="360"/>
      </w:pPr>
      <w:r>
        <w:rPr>
          <w:rFonts w:ascii="Arial" w:cs="Arial" w:eastAsia="Arial" w:hAnsi="Arial"/>
          <w:b/>
          <w:bCs/>
          <w:color w:val="1F4E78"/>
          <w:sz w:val="28"/>
          <w:szCs w:val="28"/>
        </w:rPr>
        <w:t xml:space="preserve">The Structural Problem</w:t>
      </w:r>
    </w:p>
    <w:p>
      <w:pPr>
        <w:spacing w:after="200" w:line="320"/>
        <w:jc w:val="both"/>
      </w:pPr>
      <w:r>
        <w:rPr>
          <w:rFonts w:ascii="Georgia" w:cs="Georgia" w:eastAsia="Georgia" w:hAnsi="Georgia"/>
          <w:color w:val="1A1A1A"/>
          <w:sz w:val="22"/>
          <w:szCs w:val="22"/>
        </w:rPr>
        <w:t xml:space="preserve">The U.S. Senate's malapportionment is severe and growing. The 26 smallest states, with approximately 18% of the U.S. population, elect 52 senators — a Senate majority. The 22 least populous states, with approximately 12% of the population, elect 44 senators — enough to sustain a filibuster. Senators representing 11% of the U.S. population can theoretically block legislation favored by senators representing the other 89%.</w:t>
      </w:r>
    </w:p>
    <w:p>
      <w:pPr>
        <w:spacing w:after="12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3000"/>
        <w:gridCol w:w="2400"/>
        <w:gridCol w:w="3600"/>
      </w:tblGrid>
      <w:tr>
        <w:tc>
          <w:tcPr>
            <w:tcW w:type="dxa" w:w="300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Population Share</w:t>
            </w:r>
          </w:p>
        </w:tc>
        <w:tc>
          <w:tcPr>
            <w:tcW w:type="dxa" w:w="240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Senate Seats</w:t>
            </w:r>
          </w:p>
        </w:tc>
        <w:tc>
          <w:tcPr>
            <w:tcW w:type="dxa" w:w="360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Threshold Power</w:t>
            </w:r>
          </w:p>
        </w:tc>
      </w:tr>
      <w:tr>
        <w:tc>
          <w:tcPr>
            <w:tcW w:type="dxa" w:w="30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12% (smallest 22 states)</w:t>
            </w:r>
          </w:p>
        </w:tc>
        <w:tc>
          <w:tcPr>
            <w:tcW w:type="dxa" w:w="24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44 senators</w:t>
            </w:r>
          </w:p>
        </w:tc>
        <w:tc>
          <w:tcPr>
            <w:tcW w:type="dxa" w:w="36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Sustain filibuster</w:t>
            </w:r>
          </w:p>
        </w:tc>
      </w:tr>
      <w:tr>
        <w:tc>
          <w:tcPr>
            <w:tcW w:type="dxa" w:w="30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left"/>
            </w:pPr>
            <w:r>
              <w:rPr>
                <w:rFonts w:ascii="Georgia" w:cs="Georgia" w:eastAsia="Georgia" w:hAnsi="Georgia"/>
                <w:color w:val="1A1A1A"/>
                <w:sz w:val="20"/>
                <w:szCs w:val="20"/>
              </w:rPr>
              <w:t xml:space="preserve">18% (smallest 26 states)</w:t>
            </w:r>
          </w:p>
        </w:tc>
        <w:tc>
          <w:tcPr>
            <w:tcW w:type="dxa" w:w="24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52 senators</w:t>
            </w:r>
          </w:p>
        </w:tc>
        <w:tc>
          <w:tcPr>
            <w:tcW w:type="dxa" w:w="36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Senate majority</w:t>
            </w:r>
          </w:p>
        </w:tc>
      </w:tr>
      <w:tr>
        <w:tc>
          <w:tcPr>
            <w:tcW w:type="dxa" w:w="30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~38% (small + medium states)</w:t>
            </w:r>
          </w:p>
        </w:tc>
        <w:tc>
          <w:tcPr>
            <w:tcW w:type="dxa" w:w="24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60 senators</w:t>
            </w:r>
          </w:p>
        </w:tc>
        <w:tc>
          <w:tcPr>
            <w:tcW w:type="dxa" w:w="36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Filibuster-proof majority</w:t>
            </w:r>
          </w:p>
        </w:tc>
      </w:tr>
      <w:tr>
        <w:tc>
          <w:tcPr>
            <w:tcW w:type="dxa" w:w="30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left"/>
            </w:pPr>
            <w:r>
              <w:rPr>
                <w:rFonts w:ascii="Georgia" w:cs="Georgia" w:eastAsia="Georgia" w:hAnsi="Georgia"/>
                <w:color w:val="1A1A1A"/>
                <w:sz w:val="20"/>
                <w:szCs w:val="20"/>
              </w:rPr>
              <w:t xml:space="preserve">~50% (smaller half)</w:t>
            </w:r>
          </w:p>
        </w:tc>
        <w:tc>
          <w:tcPr>
            <w:tcW w:type="dxa" w:w="24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62-66 senators</w:t>
            </w:r>
          </w:p>
        </w:tc>
        <w:tc>
          <w:tcPr>
            <w:tcW w:type="dxa" w:w="36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Comfortable supermajority</w:t>
            </w:r>
          </w:p>
        </w:tc>
      </w:tr>
    </w:tbl>
    <w:p>
      <w:pPr>
        <w:spacing w:after="240"/>
      </w:pPr>
      <w:r>
        <w:t xml:space="preserve"/>
      </w:r>
    </w:p>
    <w:p>
      <w:pPr>
        <w:spacing w:after="200" w:line="320"/>
        <w:jc w:val="both"/>
      </w:pPr>
      <w:r>
        <w:rPr>
          <w:rFonts w:ascii="Georgia" w:cs="Georgia" w:eastAsia="Georgia" w:hAnsi="Georgia"/>
          <w:color w:val="1A1A1A"/>
          <w:sz w:val="22"/>
          <w:szCs w:val="22"/>
        </w:rPr>
        <w:t xml:space="preserve">This means the 60-senator filibuster-proof threshold can theoretically be reached by a coalition representing approximately 38% of the U.S. population — if those small-state senators all align politically. Conversely, a coalition representing 60% of the population may control fewer than 60 Senate seats if those voters are concentrated in large states.</w:t>
      </w:r>
    </w:p>
    <w:p>
      <w:pPr>
        <w:pStyle w:val="Heading2"/>
        <w:spacing w:after="160" w:before="360"/>
      </w:pPr>
      <w:r>
        <w:rPr>
          <w:rFonts w:ascii="Arial" w:cs="Arial" w:eastAsia="Arial" w:hAnsi="Arial"/>
          <w:b/>
          <w:bCs/>
          <w:color w:val="1F4E78"/>
          <w:sz w:val="28"/>
          <w:szCs w:val="28"/>
        </w:rPr>
        <w:t xml:space="preserve">How This Maps to the Platform</w:t>
      </w:r>
    </w:p>
    <w:p>
      <w:pPr>
        <w:spacing w:after="200" w:line="320"/>
        <w:jc w:val="both"/>
      </w:pPr>
      <w:r>
        <w:rPr>
          <w:rFonts w:ascii="Georgia" w:cs="Georgia" w:eastAsia="Georgia" w:hAnsi="Georgia"/>
          <w:color w:val="1A1A1A"/>
          <w:sz w:val="22"/>
          <w:szCs w:val="22"/>
        </w:rPr>
        <w:t xml:space="preserve">The platform's coalition has specific geographic patterns. Working-class beneficiaries are distributed across the country but concentrated in specific regions: large urban centers (Northeast, West Coast, urban Midwest), industrial Rust Belt regions, Sun Belt suburban areas. Rural working-class beneficiaries exist but vote at lower rates and lean Republican more than urban working-class beneficiaries.</w:t>
      </w:r>
    </w:p>
    <w:p>
      <w:pPr>
        <w:spacing w:after="200" w:line="320"/>
        <w:jc w:val="both"/>
      </w:pPr>
      <w:r>
        <w:rPr>
          <w:rFonts w:ascii="Georgia" w:cs="Georgia" w:eastAsia="Georgia" w:hAnsi="Georgia"/>
          <w:color w:val="1A1A1A"/>
          <w:sz w:val="22"/>
          <w:szCs w:val="22"/>
        </w:rPr>
        <w:t xml:space="preserve">Top 1% by wealth (the platform's net cost-bearers) are similarly concentrated, but in different ways: very high earners cluster in coastal metro areas (NY, SF, Boston, Seattle) and a few high-income enclaves (Connecticut, certain Florida regions). The geographic concentration of cost-bearers is actually higher than the geographic concentration of beneficiaries.</w:t>
      </w:r>
    </w:p>
    <w:p>
      <w:pPr>
        <w:pStyle w:val="Heading2"/>
        <w:spacing w:after="160" w:before="360"/>
      </w:pPr>
      <w:r>
        <w:rPr>
          <w:rFonts w:ascii="Arial" w:cs="Arial" w:eastAsia="Arial" w:hAnsi="Arial"/>
          <w:b/>
          <w:bCs/>
          <w:color w:val="1F4E78"/>
          <w:sz w:val="28"/>
          <w:szCs w:val="28"/>
        </w:rPr>
        <w:t xml:space="preserve">Senate Math: Realistic Projection</w:t>
      </w:r>
    </w:p>
    <w:p>
      <w:pPr>
        <w:spacing w:after="200" w:line="320"/>
        <w:jc w:val="both"/>
      </w:pPr>
      <w:r>
        <w:rPr>
          <w:rFonts w:ascii="Georgia" w:cs="Georgia" w:eastAsia="Georgia" w:hAnsi="Georgia"/>
          <w:color w:val="1A1A1A"/>
          <w:sz w:val="22"/>
          <w:szCs w:val="22"/>
        </w:rPr>
        <w:t xml:space="preserve">Translating an 88-100 million national supporter base to Senate seats requires state-level analysis. The platform's path to a Senate majority runs through:</w:t>
      </w:r>
    </w:p>
    <w:p>
      <w:pPr>
        <w:pStyle w:val="Heading3"/>
        <w:spacing w:after="120" w:before="240"/>
      </w:pPr>
      <w:r>
        <w:rPr>
          <w:rFonts w:ascii="Arial" w:cs="Arial" w:eastAsia="Arial" w:hAnsi="Arial"/>
          <w:b/>
          <w:bCs/>
          <w:color w:val="C00000"/>
          <w:sz w:val="22"/>
          <w:szCs w:val="22"/>
        </w:rPr>
        <w:t xml:space="preserve">Solid Base States (15-18 senators reliably aligned)</w:t>
      </w:r>
    </w:p>
    <w:p>
      <w:pPr>
        <w:spacing w:after="200" w:line="320"/>
        <w:jc w:val="both"/>
      </w:pPr>
      <w:r>
        <w:rPr>
          <w:rFonts w:ascii="Georgia" w:cs="Georgia" w:eastAsia="Georgia" w:hAnsi="Georgia"/>
          <w:color w:val="1A1A1A"/>
          <w:sz w:val="22"/>
          <w:szCs w:val="22"/>
        </w:rPr>
        <w:t xml:space="preserve">Large coastal states (CA, NY, NJ, MA, MD, IL, WA) and several blue-leaning states (OR, MN, CO, NM, VA, HI, DE, RI). These states reliably elect senators aligned with the platform's economic commitments. Their 30-36 senators are the foundational base.</w:t>
      </w:r>
    </w:p>
    <w:p>
      <w:pPr>
        <w:pStyle w:val="Heading3"/>
        <w:spacing w:after="120" w:before="240"/>
      </w:pPr>
      <w:r>
        <w:rPr>
          <w:rFonts w:ascii="Arial" w:cs="Arial" w:eastAsia="Arial" w:hAnsi="Arial"/>
          <w:b/>
          <w:bCs/>
          <w:color w:val="C00000"/>
          <w:sz w:val="22"/>
          <w:szCs w:val="22"/>
        </w:rPr>
        <w:t xml:space="preserve">Competitive States (20-25 senators contested)</w:t>
      </w:r>
    </w:p>
    <w:p>
      <w:pPr>
        <w:spacing w:after="200" w:line="320"/>
        <w:jc w:val="both"/>
      </w:pPr>
      <w:r>
        <w:rPr>
          <w:rFonts w:ascii="Georgia" w:cs="Georgia" w:eastAsia="Georgia" w:hAnsi="Georgia"/>
          <w:color w:val="1A1A1A"/>
          <w:sz w:val="22"/>
          <w:szCs w:val="22"/>
        </w:rPr>
        <w:t xml:space="preserve">Rust Belt states (PA, MI, WI, OH), Sun Belt swing states (AZ, GA, NV, NC), and several others (FL, TX, NH, ME, MT). These states' senators are competitive in most cycles. The platform's path to majority runs through winning a substantial majority of competitive Senate races; this is achievable but not automatic.</w:t>
      </w:r>
    </w:p>
    <w:p>
      <w:pPr>
        <w:pStyle w:val="Heading3"/>
        <w:spacing w:after="120" w:before="240"/>
      </w:pPr>
      <w:r>
        <w:rPr>
          <w:rFonts w:ascii="Arial" w:cs="Arial" w:eastAsia="Arial" w:hAnsi="Arial"/>
          <w:b/>
          <w:bCs/>
          <w:color w:val="C00000"/>
          <w:sz w:val="22"/>
          <w:szCs w:val="22"/>
        </w:rPr>
        <w:t xml:space="preserve">Hostile Territory (40-45 senators reliably opposed)</w:t>
      </w:r>
    </w:p>
    <w:p>
      <w:pPr>
        <w:spacing w:after="200" w:line="320"/>
        <w:jc w:val="both"/>
      </w:pPr>
      <w:r>
        <w:rPr>
          <w:rFonts w:ascii="Georgia" w:cs="Georgia" w:eastAsia="Georgia" w:hAnsi="Georgia"/>
          <w:color w:val="1A1A1A"/>
          <w:sz w:val="22"/>
          <w:szCs w:val="22"/>
        </w:rPr>
        <w:t xml:space="preserve">Small Republican-leaning states (WY, ID, ND, SD, NE, KS, OK, AR, KY, TN, AL, MS, LA, WV, MT, AK, IN, IA, UT, MO, SC) reliably elect Republican senators regardless of platform substance. These states' 40-45 senators are not addressable through platform-specific messaging in any single cycle; they are addressable only through long-term political realignment that's outside platform proponent control.</w:t>
      </w:r>
    </w:p>
    <w:p>
      <w:pPr>
        <w:pStyle w:val="Heading2"/>
        <w:spacing w:after="160" w:before="360"/>
      </w:pPr>
      <w:r>
        <w:rPr>
          <w:rFonts w:ascii="Arial" w:cs="Arial" w:eastAsia="Arial" w:hAnsi="Arial"/>
          <w:b/>
          <w:bCs/>
          <w:color w:val="1F4E78"/>
          <w:sz w:val="28"/>
          <w:szCs w:val="28"/>
        </w:rPr>
        <w:t xml:space="preserve">The Senate Coalition Math</w:t>
      </w:r>
    </w:p>
    <w:p>
      <w:pPr>
        <w:spacing w:after="200" w:line="320"/>
        <w:jc w:val="both"/>
      </w:pPr>
      <w:r>
        <w:rPr>
          <w:rFonts w:ascii="Georgia" w:cs="Georgia" w:eastAsia="Georgia" w:hAnsi="Georgia"/>
          <w:color w:val="1A1A1A"/>
          <w:sz w:val="22"/>
          <w:szCs w:val="22"/>
        </w:rPr>
        <w:t xml:space="preserve">Working through the Senate map under realistic conditions:</w:t>
      </w:r>
    </w:p>
    <w:p>
      <w:pPr>
        <w:spacing w:after="12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2800"/>
        <w:gridCol w:w="1400"/>
        <w:gridCol w:w="1900"/>
        <w:gridCol w:w="2900"/>
      </w:tblGrid>
      <w:tr>
        <w:tc>
          <w:tcPr>
            <w:tcW w:type="dxa" w:w="280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Scenario</w:t>
            </w:r>
          </w:p>
        </w:tc>
        <w:tc>
          <w:tcPr>
            <w:tcW w:type="dxa" w:w="140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Base</w:t>
            </w:r>
          </w:p>
        </w:tc>
        <w:tc>
          <w:tcPr>
            <w:tcW w:type="dxa" w:w="190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Won Competitive</w:t>
            </w:r>
          </w:p>
        </w:tc>
        <w:tc>
          <w:tcPr>
            <w:tcW w:type="dxa" w:w="2900"/>
            <w:tcBorders>
              <w:top w:val="single" w:color="BFBFBF" w:sz="4"/>
              <w:left w:val="single" w:color="BFBFBF" w:sz="4"/>
              <w:bottom w:val="single" w:color="BFBFBF" w:sz="4"/>
              <w:right w:val="single" w:color="BFBFBF" w:sz="4"/>
            </w:tcBorders>
            <w:shd w:fill="1F4E78"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Total Senators</w:t>
            </w:r>
          </w:p>
        </w:tc>
      </w:tr>
      <w:tr>
        <w:tc>
          <w:tcPr>
            <w:tcW w:type="dxa" w:w="28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Pessimistic (lose most competitive)</w:t>
            </w:r>
          </w:p>
        </w:tc>
        <w:tc>
          <w:tcPr>
            <w:tcW w:type="dxa" w:w="14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32</w:t>
            </w:r>
          </w:p>
        </w:tc>
        <w:tc>
          <w:tcPr>
            <w:tcW w:type="dxa" w:w="19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8 of 22</w:t>
            </w:r>
          </w:p>
        </w:tc>
        <w:tc>
          <w:tcPr>
            <w:tcW w:type="dxa" w:w="29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40</w:t>
            </w:r>
          </w:p>
        </w:tc>
      </w:tr>
      <w:tr>
        <w:tc>
          <w:tcPr>
            <w:tcW w:type="dxa" w:w="28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left"/>
            </w:pPr>
            <w:r>
              <w:rPr>
                <w:rFonts w:ascii="Georgia" w:cs="Georgia" w:eastAsia="Georgia" w:hAnsi="Georgia"/>
                <w:color w:val="1A1A1A"/>
                <w:sz w:val="20"/>
                <w:szCs w:val="20"/>
              </w:rPr>
              <w:t xml:space="preserve">Moderate (split competitive)</w:t>
            </w:r>
          </w:p>
        </w:tc>
        <w:tc>
          <w:tcPr>
            <w:tcW w:type="dxa" w:w="14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33</w:t>
            </w:r>
          </w:p>
        </w:tc>
        <w:tc>
          <w:tcPr>
            <w:tcW w:type="dxa" w:w="19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12 of 22</w:t>
            </w:r>
          </w:p>
        </w:tc>
        <w:tc>
          <w:tcPr>
            <w:tcW w:type="dxa" w:w="29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45</w:t>
            </w:r>
          </w:p>
        </w:tc>
      </w:tr>
      <w:tr>
        <w:tc>
          <w:tcPr>
            <w:tcW w:type="dxa" w:w="28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Optimistic (win most competitive)</w:t>
            </w:r>
          </w:p>
        </w:tc>
        <w:tc>
          <w:tcPr>
            <w:tcW w:type="dxa" w:w="14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34</w:t>
            </w:r>
          </w:p>
        </w:tc>
        <w:tc>
          <w:tcPr>
            <w:tcW w:type="dxa" w:w="19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16 of 22</w:t>
            </w:r>
          </w:p>
        </w:tc>
        <w:tc>
          <w:tcPr>
            <w:tcW w:type="dxa" w:w="29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50</w:t>
            </w:r>
          </w:p>
        </w:tc>
      </w:tr>
      <w:tr>
        <w:tc>
          <w:tcPr>
            <w:tcW w:type="dxa" w:w="28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left"/>
            </w:pPr>
            <w:r>
              <w:rPr>
                <w:rFonts w:ascii="Georgia" w:cs="Georgia" w:eastAsia="Georgia" w:hAnsi="Georgia"/>
                <w:color w:val="1A1A1A"/>
                <w:sz w:val="20"/>
                <w:szCs w:val="20"/>
              </w:rPr>
              <w:t xml:space="preserve">Maximum plausible (sweep + a stretch)</w:t>
            </w:r>
          </w:p>
        </w:tc>
        <w:tc>
          <w:tcPr>
            <w:tcW w:type="dxa" w:w="14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35</w:t>
            </w:r>
          </w:p>
        </w:tc>
        <w:tc>
          <w:tcPr>
            <w:tcW w:type="dxa" w:w="19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20 of 22</w:t>
            </w:r>
          </w:p>
        </w:tc>
        <w:tc>
          <w:tcPr>
            <w:tcW w:type="dxa" w:w="2900"/>
            <w:tcBorders>
              <w:top w:val="single" w:color="BFBFBF" w:sz="4"/>
              <w:left w:val="single" w:color="BFBFBF" w:sz="4"/>
              <w:bottom w:val="single" w:color="BFBFBF" w:sz="4"/>
              <w:right w:val="single" w:color="BFBFBF" w:sz="4"/>
            </w:tcBorders>
            <w:shd w:fill="F5F5F5"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55</w:t>
            </w:r>
          </w:p>
        </w:tc>
      </w:tr>
      <w:tr>
        <w:tc>
          <w:tcPr>
            <w:tcW w:type="dxa" w:w="28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left"/>
            </w:pPr>
            <w:r>
              <w:rPr>
                <w:rFonts w:ascii="Georgia" w:cs="Georgia" w:eastAsia="Georgia" w:hAnsi="Georgia"/>
                <w:color w:val="1A1A1A"/>
                <w:sz w:val="20"/>
                <w:szCs w:val="20"/>
              </w:rPr>
              <w:t xml:space="preserve">Filibuster-proof (60 seats)</w:t>
            </w:r>
          </w:p>
        </w:tc>
        <w:tc>
          <w:tcPr>
            <w:tcW w:type="dxa" w:w="14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Requires hostile territory shift</w:t>
            </w:r>
          </w:p>
        </w:tc>
        <w:tc>
          <w:tcPr>
            <w:tcW w:type="dxa" w:w="19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
            </w:r>
          </w:p>
        </w:tc>
        <w:tc>
          <w:tcPr>
            <w:tcW w:type="dxa" w:w="2900"/>
            <w:tcBorders>
              <w:top w:val="single" w:color="BFBFBF" w:sz="4"/>
              <w:left w:val="single" w:color="BFBFBF" w:sz="4"/>
              <w:bottom w:val="single" w:color="BFBFBF" w:sz="4"/>
              <w:right w:val="single" w:color="BFBFBF" w:sz="4"/>
            </w:tcBorders>
            <w:shd w:fill="FFFFFF" w:val="clear"/>
            <w:tcMar>
              <w:top w:type="dxa" w:w="80"/>
              <w:left w:type="dxa" w:w="120"/>
              <w:bottom w:type="dxa" w:w="80"/>
              <w:right w:type="dxa" w:w="120"/>
            </w:tcMar>
          </w:tcPr>
          <w:p>
            <w:pPr>
              <w:jc w:val="right"/>
            </w:pPr>
            <w:r>
              <w:rPr>
                <w:rFonts w:ascii="Georgia" w:cs="Georgia" w:eastAsia="Georgia" w:hAnsi="Georgia"/>
                <w:color w:val="1A1A1A"/>
                <w:sz w:val="20"/>
                <w:szCs w:val="20"/>
              </w:rPr>
              <w:t xml:space="preserve">Difficult</w:t>
            </w:r>
          </w:p>
        </w:tc>
      </w:tr>
    </w:tbl>
    <w:p>
      <w:pPr>
        <w:spacing w:after="240"/>
      </w:pPr>
      <w:r>
        <w:t xml:space="preserve"/>
      </w:r>
    </w:p>
    <w:p>
      <w:pPr>
        <w:spacing w:after="200" w:line="320"/>
        <w:jc w:val="both"/>
      </w:pPr>
      <w:r>
        <w:rPr>
          <w:rFonts w:ascii="Georgia" w:cs="Georgia" w:eastAsia="Georgia" w:hAnsi="Georgia"/>
          <w:color w:val="1A1A1A"/>
          <w:sz w:val="22"/>
          <w:szCs w:val="22"/>
        </w:rPr>
        <w:t xml:space="preserve">Under the optimistic national scenario (~100M supporters, 65% of voters), the realistic Senate outcome is approximately 50 senators — a bare majority. With Vice Presidential tiebreak, this enables passage of legislation through reconciliation (which doesn't require 60 votes) but not through normal Senate process.</w:t>
      </w:r>
    </w:p>
    <w:p>
      <w:pPr>
        <w:spacing w:after="200" w:line="320"/>
        <w:jc w:val="both"/>
      </w:pPr>
      <w:r>
        <w:rPr>
          <w:rFonts w:ascii="Georgia" w:cs="Georgia" w:eastAsia="Georgia" w:hAnsi="Georgia"/>
          <w:color w:val="1A1A1A"/>
          <w:sz w:val="22"/>
          <w:szCs w:val="22"/>
        </w:rPr>
        <w:t xml:space="preserve">Under the maximum plausible national scenario (~115M supporters, 72% of voters), the realistic Senate outcome is approximately 55 senators — still below filibuster-proof. Reaching 60 Senate seats requires winning seats in states currently considered hostile territory: small-population Republican-leaning states whose voters' economic interests are aligned with the platform but whose voting behavior is shaped by other factors.</w:t>
      </w:r>
    </w:p>
    <w:p>
      <w:pPr>
        <w:pStyle w:val="Heading2"/>
        <w:spacing w:after="160" w:before="360"/>
      </w:pPr>
      <w:r>
        <w:rPr>
          <w:rFonts w:ascii="Arial" w:cs="Arial" w:eastAsia="Arial" w:hAnsi="Arial"/>
          <w:b/>
          <w:bCs/>
          <w:color w:val="1F4E78"/>
          <w:sz w:val="28"/>
          <w:szCs w:val="28"/>
        </w:rPr>
        <w:t xml:space="preserve">Implications: The Filibuster Problem</w:t>
      </w:r>
    </w:p>
    <w:p>
      <w:pPr>
        <w:spacing w:after="200" w:line="320"/>
        <w:jc w:val="both"/>
      </w:pPr>
      <w:r>
        <w:rPr>
          <w:rFonts w:ascii="Georgia" w:cs="Georgia" w:eastAsia="Georgia" w:hAnsi="Georgia"/>
          <w:color w:val="1A1A1A"/>
          <w:sz w:val="22"/>
          <w:szCs w:val="22"/>
        </w:rPr>
        <w:t xml:space="preserve">This analysis reveals a structural problem the Coalition Mathematics summary noted but didn't fully unpack: even in the optimistic and maximum plausible national scenarios, reaching 60 Senate seats is unlikely. The platform's path to passage realistically requires either:</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E8F0F8"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Three viable paths through Senate</w:t>
            </w:r>
          </w:p>
          <w:p>
            <w:pPr>
              <w:spacing w:after="100" w:line="280"/>
            </w:pPr>
            <w:r>
              <w:rPr>
                <w:rFonts w:ascii="Georgia" w:cs="Georgia" w:eastAsia="Georgia" w:hAnsi="Georgia"/>
                <w:color w:val="1A1A1A"/>
                <w:sz w:val="21"/>
                <w:szCs w:val="21"/>
              </w:rPr>
              <w:t xml:space="preserve">•  Path 1: Filibuster reform. Senate rules can be changed by simple majority. Reform of the legislative filibuster (already partially eliminated for nominations and budget reconciliation) would enable platform passage with 50+1 senators rather than 60. This is a separate political project; requires its own coalition.</w:t>
            </w:r>
          </w:p>
          <w:p>
            <w:pPr>
              <w:spacing w:after="100" w:line="280"/>
            </w:pPr>
            <w:r>
              <w:rPr>
                <w:rFonts w:ascii="Georgia" w:cs="Georgia" w:eastAsia="Georgia" w:hAnsi="Georgia"/>
                <w:color w:val="1A1A1A"/>
                <w:sz w:val="21"/>
                <w:szCs w:val="21"/>
              </w:rPr>
              <w:t xml:space="preserve">•  Path 2: Reconciliation packaging. Most platform commitments can be structured as budget reconciliation — which only requires 51 senators (50 + VP tiebreak) and bypasses the filibuster. Tax provisions (wealth tax, Sovereign Fund), spending provisions (healthcare, childcare, broadband, education), and revenue measures fit reconciliation. Civil rights, regulatory, and structural reforms don't fit reconciliation and require separate paths.</w:t>
            </w:r>
          </w:p>
          <w:p>
            <w:pPr>
              <w:spacing w:after="100" w:line="280"/>
            </w:pPr>
            <w:r>
              <w:rPr>
                <w:rFonts w:ascii="Georgia" w:cs="Georgia" w:eastAsia="Georgia" w:hAnsi="Georgia"/>
                <w:color w:val="1A1A1A"/>
                <w:sz w:val="21"/>
                <w:szCs w:val="21"/>
              </w:rPr>
              <w:t xml:space="preserve">•  Path 3: Multi-cycle Senate building. Even if a single cycle produces 50-55 senators, sustained organizational effort can shift hostile territory over multiple cycles. Republican gains in WV, ND, SD, MT, and AR over 2010-2024 demonstrate that small-state Senate politics can shift; the same dynamic could work in reverse with sustained effort. This is a 12-20 year project, not a single-cycle one.</w:t>
            </w:r>
          </w:p>
        </w:tc>
      </w:tr>
    </w:tbl>
    <w:p>
      <w:pPr>
        <w:pStyle w:val="Heading2"/>
        <w:spacing w:after="160" w:before="360"/>
      </w:pPr>
      <w:r>
        <w:rPr>
          <w:rFonts w:ascii="Arial" w:cs="Arial" w:eastAsia="Arial" w:hAnsi="Arial"/>
          <w:b/>
          <w:bCs/>
          <w:color w:val="1F4E78"/>
          <w:sz w:val="28"/>
          <w:szCs w:val="28"/>
        </w:rPr>
        <w:t xml:space="preserve">Electoral College Considerations</w:t>
      </w:r>
    </w:p>
    <w:p>
      <w:pPr>
        <w:spacing w:after="200" w:line="320"/>
        <w:jc w:val="both"/>
      </w:pPr>
      <w:r>
        <w:rPr>
          <w:rFonts w:ascii="Georgia" w:cs="Georgia" w:eastAsia="Georgia" w:hAnsi="Georgia"/>
          <w:color w:val="1A1A1A"/>
          <w:sz w:val="22"/>
          <w:szCs w:val="22"/>
        </w:rPr>
        <w:t xml:space="preserve">The Electoral College has its own state-weighted dynamics. Each state gets electoral votes equal to its House delegation plus two senators — meaning the small-state bias of the Senate is partially imported into the presidential election. Small states with three electoral votes have approximately three times more electoral votes per voter than large states with proportionally larger delegations.</w:t>
      </w:r>
    </w:p>
    <w:p>
      <w:pPr>
        <w:spacing w:after="200" w:line="320"/>
        <w:jc w:val="both"/>
      </w:pPr>
      <w:r>
        <w:rPr>
          <w:rFonts w:ascii="Georgia" w:cs="Georgia" w:eastAsia="Georgia" w:hAnsi="Georgia"/>
          <w:color w:val="1A1A1A"/>
          <w:sz w:val="22"/>
          <w:szCs w:val="22"/>
        </w:rPr>
        <w:t xml:space="preserve">In practice, this means national popular vote majorities don't always produce Electoral College majorities. The 2000 and 2016 elections produced popular vote losers as Electoral College winners. The platform's optimistic scenario (65% national popular vote) almost certainly produces Electoral College victory; the moderate scenario (57%) probably does; the pessimistic scenario (47%) does not.</w:t>
      </w:r>
    </w:p>
    <w:p>
      <w:pPr>
        <w:pStyle w:val="Heading2"/>
        <w:spacing w:after="160" w:before="360"/>
      </w:pPr>
      <w:r>
        <w:rPr>
          <w:rFonts w:ascii="Arial" w:cs="Arial" w:eastAsia="Arial" w:hAnsi="Arial"/>
          <w:b/>
          <w:bCs/>
          <w:color w:val="1F4E78"/>
          <w:sz w:val="28"/>
          <w:szCs w:val="28"/>
        </w:rPr>
        <w:t xml:space="preserve">Geographic Strategy Implications</w:t>
      </w:r>
    </w:p>
    <w:p>
      <w:pPr>
        <w:spacing w:after="200" w:line="320"/>
        <w:jc w:val="both"/>
      </w:pPr>
      <w:r>
        <w:rPr>
          <w:rFonts w:ascii="Georgia" w:cs="Georgia" w:eastAsia="Georgia" w:hAnsi="Georgia"/>
          <w:color w:val="1A1A1A"/>
          <w:sz w:val="22"/>
          <w:szCs w:val="22"/>
        </w:rPr>
        <w:t xml:space="preserve">This analysis has direct implications for platform proponent strategy:</w:t>
      </w:r>
    </w:p>
    <w:p>
      <w:pPr>
        <w:spacing w:after="200" w:line="320"/>
        <w:jc w:val="both"/>
      </w:pPr>
      <w:r>
        <w:rPr>
          <w:rFonts w:ascii="Georgia" w:cs="Georgia" w:eastAsia="Georgia" w:hAnsi="Georgia"/>
          <w:b/>
          <w:bCs/>
          <w:sz w:val="22"/>
          <w:szCs w:val="22"/>
        </w:rPr>
        <w:t xml:space="preserve">Don't optimize purely for national popular vote. </w:t>
      </w:r>
      <w:r>
        <w:rPr>
          <w:rFonts w:ascii="Georgia" w:cs="Georgia" w:eastAsia="Georgia" w:hAnsi="Georgia"/>
          <w:color w:val="1A1A1A"/>
          <w:sz w:val="22"/>
          <w:szCs w:val="22"/>
        </w:rPr>
        <w:t xml:space="preserve">A 65% national supporter base concentrated in coastal metros translates to fewer Senate seats than a 60% base distributed across more states. Geographic distribution matters as much as numerical totals; coalition strategy must include outreach in less-favorable geographies.</w:t>
      </w:r>
    </w:p>
    <w:p>
      <w:pPr>
        <w:spacing w:after="200" w:line="320"/>
        <w:jc w:val="both"/>
      </w:pPr>
      <w:r>
        <w:rPr>
          <w:rFonts w:ascii="Georgia" w:cs="Georgia" w:eastAsia="Georgia" w:hAnsi="Georgia"/>
          <w:b/>
          <w:bCs/>
          <w:sz w:val="22"/>
          <w:szCs w:val="22"/>
        </w:rPr>
        <w:t xml:space="preserve">Invest in competitive-state organization. </w:t>
      </w:r>
      <w:r>
        <w:rPr>
          <w:rFonts w:ascii="Georgia" w:cs="Georgia" w:eastAsia="Georgia" w:hAnsi="Georgia"/>
          <w:color w:val="1A1A1A"/>
          <w:sz w:val="22"/>
          <w:szCs w:val="22"/>
        </w:rPr>
        <w:t xml:space="preserve">The platform's path to Senate majority runs through competitive states (PA, MI, WI, OH, AZ, GA, NV, NC). Per-citizen messaging deployed at scale in these states has higher institutional return than equivalent investment in solid-base states.</w:t>
      </w:r>
    </w:p>
    <w:p>
      <w:pPr>
        <w:spacing w:after="200" w:line="320"/>
        <w:jc w:val="both"/>
      </w:pPr>
      <w:r>
        <w:rPr>
          <w:rFonts w:ascii="Georgia" w:cs="Georgia" w:eastAsia="Georgia" w:hAnsi="Georgia"/>
          <w:b/>
          <w:bCs/>
          <w:sz w:val="22"/>
          <w:szCs w:val="22"/>
        </w:rPr>
        <w:t xml:space="preserve">Don't write off small Republican-leaning states. </w:t>
      </w:r>
      <w:r>
        <w:rPr>
          <w:rFonts w:ascii="Georgia" w:cs="Georgia" w:eastAsia="Georgia" w:hAnsi="Georgia"/>
          <w:color w:val="1A1A1A"/>
          <w:sz w:val="22"/>
          <w:szCs w:val="22"/>
        </w:rPr>
        <w:t xml:space="preserve">Even in the maximum plausible scenario, reaching filibuster-proof requires winning seats in states currently considered hostile territory. Long-term coalition building in these states (state-level pilots, candidate development, local organizing) is expensive and slow but structurally necessary.</w:t>
      </w:r>
    </w:p>
    <w:p>
      <w:pPr>
        <w:spacing w:after="200" w:line="320"/>
        <w:jc w:val="both"/>
      </w:pPr>
      <w:r>
        <w:rPr>
          <w:rFonts w:ascii="Georgia" w:cs="Georgia" w:eastAsia="Georgia" w:hAnsi="Georgia"/>
          <w:b/>
          <w:bCs/>
          <w:sz w:val="22"/>
          <w:szCs w:val="22"/>
        </w:rPr>
        <w:t xml:space="preserve">Plan reconciliation pathways. </w:t>
      </w:r>
      <w:r>
        <w:rPr>
          <w:rFonts w:ascii="Georgia" w:cs="Georgia" w:eastAsia="Georgia" w:hAnsi="Georgia"/>
          <w:color w:val="1A1A1A"/>
          <w:sz w:val="22"/>
          <w:szCs w:val="22"/>
        </w:rPr>
        <w:t xml:space="preserve">Most platform commitments should be structured as reconciliation-eligible from the start. This requires legislative drafting choices that may not be the most elegant policy design but are politically necessary. Healthcare and childcare commitments fit reconciliation; civic engagement reforms generally don't.</w:t>
      </w:r>
    </w:p>
    <w:p>
      <w:pPr>
        <w:spacing w:after="200" w:line="320"/>
        <w:jc w:val="both"/>
      </w:pPr>
      <w:r>
        <w:rPr>
          <w:rFonts w:ascii="Georgia" w:cs="Georgia" w:eastAsia="Georgia" w:hAnsi="Georgia"/>
          <w:b/>
          <w:bCs/>
          <w:sz w:val="22"/>
          <w:szCs w:val="22"/>
        </w:rPr>
        <w:t xml:space="preserve">Treat filibuster reform as a separate coalition. </w:t>
      </w:r>
      <w:r>
        <w:rPr>
          <w:rFonts w:ascii="Georgia" w:cs="Georgia" w:eastAsia="Georgia" w:hAnsi="Georgia"/>
          <w:color w:val="1A1A1A"/>
          <w:sz w:val="22"/>
          <w:szCs w:val="22"/>
        </w:rPr>
        <w:t xml:space="preserve">Filibuster reform is a procedural change with its own political dynamics. The platform's coalition can support filibuster reform but shouldn't depend on it; legislative strategy should assume reform may or may not happen, and design accordingly.</w:t>
      </w:r>
    </w:p>
    <w:p>
      <w:pPr>
        <w:pStyle w:val="Heading2"/>
        <w:spacing w:after="160" w:before="360"/>
      </w:pPr>
      <w:r>
        <w:rPr>
          <w:rFonts w:ascii="Arial" w:cs="Arial" w:eastAsia="Arial" w:hAnsi="Arial"/>
          <w:b/>
          <w:bCs/>
          <w:color w:val="1F4E78"/>
          <w:sz w:val="28"/>
          <w:szCs w:val="28"/>
        </w:rPr>
        <w:t xml:space="preserve">The Honest Assessment</w:t>
      </w:r>
    </w:p>
    <w:p>
      <w:pPr>
        <w:spacing w:after="200" w:line="320"/>
        <w:jc w:val="both"/>
      </w:pPr>
      <w:r>
        <w:rPr>
          <w:rFonts w:ascii="Georgia" w:cs="Georgia" w:eastAsia="Georgia" w:hAnsi="Georgia"/>
          <w:color w:val="1A1A1A"/>
          <w:sz w:val="22"/>
          <w:szCs w:val="22"/>
        </w:rPr>
        <w:t xml:space="preserve">Geographic distribution is the most underappreciated constraint in coalition analysis. National popular vote projections that look favorable can produce institutional outcomes that are insufficient for legislative passage. The platform's path to actual passage runs through specific competitive states, requires institutional design choices that account for the filibuster, and depends on sustained multi-cycle effort to shift hostile territory.</w:t>
      </w:r>
    </w:p>
    <w:p>
      <w:pPr>
        <w:spacing w:after="200" w:line="320"/>
        <w:jc w:val="both"/>
      </w:pPr>
      <w:r>
        <w:rPr>
          <w:rFonts w:ascii="Georgia" w:cs="Georgia" w:eastAsia="Georgia" w:hAnsi="Georgia"/>
          <w:color w:val="1A1A1A"/>
          <w:sz w:val="22"/>
          <w:szCs w:val="22"/>
        </w:rPr>
        <w:t xml:space="preserve">This is not a reason for despair. It's a reason for specific strategic focus. Coalition strategy that ignores geographic distribution will produce national supporter counts that don't translate to passage; coalition strategy that accounts for it can produce smaller national totals that nevertheless achieve passage.</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left w:val="single" w:color="C00000" w:sz="24"/>
              <w:bottom w:val="none"/>
              <w:right w:val="none"/>
            </w:tcBorders>
            <w:tcMar>
              <w:top w:type="dxa" w:w="200"/>
              <w:left w:type="dxa" w:w="360"/>
              <w:bottom w:type="dxa" w:w="200"/>
              <w:right w:type="dxa" w:w="240"/>
            </w:tcMar>
          </w:tcPr>
          <w:p>
            <w:pPr>
              <w:spacing w:line="320"/>
            </w:pPr>
            <w:r>
              <w:rPr>
                <w:rFonts w:ascii="Georgia" w:cs="Georgia" w:eastAsia="Georgia" w:hAnsi="Georgia"/>
                <w:i/>
                <w:iCs/>
                <w:color w:val="1F4E78"/>
                <w:sz w:val="26"/>
                <w:szCs w:val="26"/>
              </w:rPr>
              <w:t xml:space="preserve">“Geographic distribution matters as much as numerical totals. A 65% national supporter base concentrated in coastal metros translates to fewer Senate seats than a 60% base distributed across more states.”</w:t>
            </w:r>
          </w:p>
        </w:tc>
      </w:tr>
    </w:tbl>
    <w:p>
      <w:r>
        <w:br w:type="page"/>
      </w:r>
    </w:p>
    <w:p>
      <w:pPr>
        <w:pStyle w:val="Heading1"/>
        <w:spacing w:after="240" w:before="480"/>
      </w:pPr>
      <w:r>
        <w:rPr>
          <w:rFonts w:ascii="Arial" w:cs="Arial" w:eastAsia="Arial" w:hAnsi="Arial"/>
          <w:b/>
          <w:bCs/>
          <w:color w:val="1F4E78"/>
          <w:sz w:val="36"/>
          <w:szCs w:val="36"/>
        </w:rPr>
        <w:t xml:space="preserve">Walkthrough 4: One Family's Path</w:t>
      </w:r>
    </w:p>
    <w:p>
      <w:pPr>
        <w:spacing w:after="240" w:line="340"/>
        <w:jc w:val="both"/>
      </w:pPr>
      <w:r>
        <w:rPr>
          <w:rFonts w:ascii="Georgia" w:cs="Georgia" w:eastAsia="Georgia" w:hAnsi="Georgia"/>
          <w:color w:val="1A1A1A"/>
          <w:sz w:val="24"/>
          <w:szCs w:val="24"/>
        </w:rPr>
        <w:t xml:space="preserve">The previous three walkthroughs addressed the optimistic scenario, the highest-leverage variable, and the geographic constraint. This walkthrough makes the entire abstract analysis concrete: one specific family's experience from beneficiary to supporter, walking through their actual deployment timeline, the political messaging they encounter, and the conversion process that determines whether they vote for the platform.</w:t>
      </w:r>
    </w:p>
    <w:p>
      <w:pPr>
        <w:pStyle w:val="Heading2"/>
        <w:spacing w:after="160" w:before="360"/>
      </w:pPr>
      <w:r>
        <w:rPr>
          <w:rFonts w:ascii="Arial" w:cs="Arial" w:eastAsia="Arial" w:hAnsi="Arial"/>
          <w:b/>
          <w:bCs/>
          <w:color w:val="1F4E78"/>
          <w:sz w:val="28"/>
          <w:szCs w:val="28"/>
        </w:rPr>
        <w:t xml:space="preserve">Meet the Hendersons</w:t>
      </w:r>
    </w:p>
    <w:p>
      <w:pPr>
        <w:spacing w:after="200" w:line="320"/>
        <w:jc w:val="both"/>
      </w:pPr>
      <w:r>
        <w:rPr>
          <w:rFonts w:ascii="Georgia" w:cs="Georgia" w:eastAsia="Georgia" w:hAnsi="Georgia"/>
          <w:color w:val="1A1A1A"/>
          <w:sz w:val="22"/>
          <w:szCs w:val="22"/>
        </w:rPr>
        <w:t xml:space="preserve">Sarah and David Henderson are a middle-income family with kids in suburban Cleveland, Ohio. Sarah is 38, works as a registered nurse at MetroHealth ($72,000/year). David is 41, works as a logistics coordinator at a regional distribution company ($58,000/year). Combined household income: $130,000. They have two children: Emma (age 9) and Tyler (age 5).</w:t>
      </w:r>
    </w:p>
    <w:p>
      <w:pPr>
        <w:spacing w:after="200" w:line="320"/>
        <w:jc w:val="both"/>
      </w:pPr>
      <w:r>
        <w:rPr>
          <w:rFonts w:ascii="Georgia" w:cs="Georgia" w:eastAsia="Georgia" w:hAnsi="Georgia"/>
          <w:color w:val="1A1A1A"/>
          <w:sz w:val="22"/>
          <w:szCs w:val="22"/>
        </w:rPr>
        <w:t xml:space="preserve">Their household profile fits the platform's “middle-income family with kids” archetype (per-citizen analysis assumed $110,000; the Hendersons are slightly above midpoint). Their political profile: Sarah leans Democratic but skeptical of “big government” programs; David has voted Republican in recent cycles but is dissatisfied with both parties' economic delivery; both are infrequent rather than reliable voters.</w:t>
      </w:r>
    </w:p>
    <w:p>
      <w:pPr>
        <w:spacing w:after="200" w:line="320"/>
        <w:jc w:val="both"/>
      </w:pPr>
      <w:r>
        <w:rPr>
          <w:rFonts w:ascii="Georgia" w:cs="Georgia" w:eastAsia="Georgia" w:hAnsi="Georgia"/>
          <w:color w:val="1A1A1A"/>
          <w:sz w:val="22"/>
          <w:szCs w:val="22"/>
        </w:rPr>
        <w:t xml:space="preserve">Their financial reality before platform deployment: monthly mortgage $1,950; healthcare $1,400/month (employer plan plus deductibles and out-of-pocket costs); childcare for Tyler $1,100/month (part-time daycare, Sarah's mother handles afternoons); two car payments totaling $720/month; student loan debt remaining for Sarah ($380/month). They save approximately $400/month; they have $14,000 in retirement accounts and $3,200 in emergency savings.</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8F4E8"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The Hendersons' household summary (Year 0, before platform)</w:t>
            </w:r>
          </w:p>
          <w:p>
            <w:pPr>
              <w:spacing w:after="100" w:line="280"/>
            </w:pPr>
            <w:r>
              <w:rPr>
                <w:rFonts w:ascii="Georgia" w:cs="Georgia" w:eastAsia="Georgia" w:hAnsi="Georgia"/>
                <w:color w:val="1A1A1A"/>
                <w:sz w:val="21"/>
                <w:szCs w:val="21"/>
              </w:rPr>
              <w:t xml:space="preserve">•  Combined household income: $130,000</w:t>
            </w:r>
          </w:p>
          <w:p>
            <w:pPr>
              <w:spacing w:after="100" w:line="280"/>
            </w:pPr>
            <w:r>
              <w:rPr>
                <w:rFonts w:ascii="Georgia" w:cs="Georgia" w:eastAsia="Georgia" w:hAnsi="Georgia"/>
                <w:color w:val="1A1A1A"/>
                <w:sz w:val="21"/>
                <w:szCs w:val="21"/>
              </w:rPr>
              <w:t xml:space="preserve">•  Monthly housing costs: $1,950</w:t>
            </w:r>
          </w:p>
          <w:p>
            <w:pPr>
              <w:spacing w:after="100" w:line="280"/>
            </w:pPr>
            <w:r>
              <w:rPr>
                <w:rFonts w:ascii="Georgia" w:cs="Georgia" w:eastAsia="Georgia" w:hAnsi="Georgia"/>
                <w:color w:val="1A1A1A"/>
                <w:sz w:val="21"/>
                <w:szCs w:val="21"/>
              </w:rPr>
              <w:t xml:space="preserve">•  Monthly healthcare costs: $1,400</w:t>
            </w:r>
          </w:p>
          <w:p>
            <w:pPr>
              <w:spacing w:after="100" w:line="280"/>
            </w:pPr>
            <w:r>
              <w:rPr>
                <w:rFonts w:ascii="Georgia" w:cs="Georgia" w:eastAsia="Georgia" w:hAnsi="Georgia"/>
                <w:color w:val="1A1A1A"/>
                <w:sz w:val="21"/>
                <w:szCs w:val="21"/>
              </w:rPr>
              <w:t xml:space="preserve">•  Monthly childcare costs: $1,100</w:t>
            </w:r>
          </w:p>
          <w:p>
            <w:pPr>
              <w:spacing w:after="100" w:line="280"/>
            </w:pPr>
            <w:r>
              <w:rPr>
                <w:rFonts w:ascii="Georgia" w:cs="Georgia" w:eastAsia="Georgia" w:hAnsi="Georgia"/>
                <w:color w:val="1A1A1A"/>
                <w:sz w:val="21"/>
                <w:szCs w:val="21"/>
              </w:rPr>
              <w:t xml:space="preserve">•  Monthly debt service (cars + student loans): $1,100</w:t>
            </w:r>
          </w:p>
          <w:p>
            <w:pPr>
              <w:spacing w:after="100" w:line="280"/>
            </w:pPr>
            <w:r>
              <w:rPr>
                <w:rFonts w:ascii="Georgia" w:cs="Georgia" w:eastAsia="Georgia" w:hAnsi="Georgia"/>
                <w:color w:val="1A1A1A"/>
                <w:sz w:val="21"/>
                <w:szCs w:val="21"/>
              </w:rPr>
              <w:t xml:space="preserve">•  Monthly savings: ~$400</w:t>
            </w:r>
          </w:p>
          <w:p>
            <w:pPr>
              <w:spacing w:after="100" w:line="280"/>
            </w:pPr>
            <w:r>
              <w:rPr>
                <w:rFonts w:ascii="Georgia" w:cs="Georgia" w:eastAsia="Georgia" w:hAnsi="Georgia"/>
                <w:color w:val="1A1A1A"/>
                <w:sz w:val="21"/>
                <w:szCs w:val="21"/>
              </w:rPr>
              <w:t xml:space="preserve">•  Retirement savings: $14,000</w:t>
            </w:r>
          </w:p>
          <w:p>
            <w:pPr>
              <w:spacing w:after="100" w:line="280"/>
            </w:pPr>
            <w:r>
              <w:rPr>
                <w:rFonts w:ascii="Georgia" w:cs="Georgia" w:eastAsia="Georgia" w:hAnsi="Georgia"/>
                <w:color w:val="1A1A1A"/>
                <w:sz w:val="21"/>
                <w:szCs w:val="21"/>
              </w:rPr>
              <w:t xml:space="preserve">•  Emergency savings: $3,200</w:t>
            </w:r>
          </w:p>
          <w:p>
            <w:pPr>
              <w:spacing w:after="100" w:line="280"/>
            </w:pPr>
            <w:r>
              <w:rPr>
                <w:rFonts w:ascii="Georgia" w:cs="Georgia" w:eastAsia="Georgia" w:hAnsi="Georgia"/>
                <w:color w:val="1A1A1A"/>
                <w:sz w:val="21"/>
                <w:szCs w:val="21"/>
              </w:rPr>
              <w:t xml:space="preserve">•  Political profile: Sarah lean-Dem skeptic, David lean-Rep skeptic, both infrequent voters</w:t>
            </w:r>
          </w:p>
        </w:tc>
      </w:tr>
    </w:tbl>
    <w:p>
      <w:pPr>
        <w:pStyle w:val="Heading2"/>
        <w:spacing w:after="160" w:before="360"/>
      </w:pPr>
      <w:r>
        <w:rPr>
          <w:rFonts w:ascii="Arial" w:cs="Arial" w:eastAsia="Arial" w:hAnsi="Arial"/>
          <w:b/>
          <w:bCs/>
          <w:color w:val="1F4E78"/>
          <w:sz w:val="28"/>
          <w:szCs w:val="28"/>
        </w:rPr>
        <w:t xml:space="preserve">Year 1: Platform Launch</w:t>
      </w:r>
    </w:p>
    <w:p>
      <w:pPr>
        <w:spacing w:after="200" w:line="320"/>
        <w:jc w:val="both"/>
      </w:pPr>
      <w:r>
        <w:rPr>
          <w:rFonts w:ascii="Georgia" w:cs="Georgia" w:eastAsia="Georgia" w:hAnsi="Georgia"/>
          <w:color w:val="1A1A1A"/>
          <w:sz w:val="22"/>
          <w:szCs w:val="22"/>
        </w:rPr>
        <w:t xml:space="preserve">Platform legislation passes. The Hendersons' immediate experience is modest — most platform commitments take time to deploy. They notice the following changes in Year 1:</w:t>
      </w:r>
    </w:p>
    <w:p>
      <w:pPr>
        <w:spacing w:after="200" w:line="320"/>
        <w:jc w:val="both"/>
      </w:pPr>
      <w:r>
        <w:rPr>
          <w:rFonts w:ascii="Georgia" w:cs="Georgia" w:eastAsia="Georgia" w:hAnsi="Georgia"/>
          <w:b/>
          <w:bCs/>
          <w:sz w:val="22"/>
          <w:szCs w:val="22"/>
        </w:rPr>
        <w:t xml:space="preserve">Refundable Transition Bridge Credit. </w:t>
      </w:r>
      <w:r>
        <w:rPr>
          <w:rFonts w:ascii="Georgia" w:cs="Georgia" w:eastAsia="Georgia" w:hAnsi="Georgia"/>
          <w:color w:val="1A1A1A"/>
          <w:sz w:val="22"/>
          <w:szCs w:val="22"/>
        </w:rPr>
        <w:t xml:space="preserve">Their tax filing the following spring shows a refundable credit of approximately $1,200, designed to bridge between platform passage and full benefit deployment. Sarah notices it and remarks favorably; David is skeptical (“we'll see if this lasts”).</w:t>
      </w:r>
    </w:p>
    <w:p>
      <w:pPr>
        <w:spacing w:after="200" w:line="320"/>
        <w:jc w:val="both"/>
      </w:pPr>
      <w:r>
        <w:rPr>
          <w:rFonts w:ascii="Georgia" w:cs="Georgia" w:eastAsia="Georgia" w:hAnsi="Georgia"/>
          <w:b/>
          <w:bCs/>
          <w:sz w:val="22"/>
          <w:szCs w:val="22"/>
        </w:rPr>
        <w:t xml:space="preserve">Initial Sovereign Fund contribution. </w:t>
      </w:r>
      <w:r>
        <w:rPr>
          <w:rFonts w:ascii="Georgia" w:cs="Georgia" w:eastAsia="Georgia" w:hAnsi="Georgia"/>
          <w:color w:val="1A1A1A"/>
          <w:sz w:val="22"/>
          <w:szCs w:val="22"/>
        </w:rPr>
        <w:t xml:space="preserve">The Sovereign Fund's initial endowment is funded through wealth tax provisions that don't affect the Hendersons (well below the wealth threshold). They don't notice this directly, though news coverage features the Sovereign Fund prominently.</w:t>
      </w:r>
    </w:p>
    <w:p>
      <w:pPr>
        <w:spacing w:after="200" w:line="320"/>
        <w:jc w:val="both"/>
      </w:pPr>
      <w:r>
        <w:rPr>
          <w:rFonts w:ascii="Georgia" w:cs="Georgia" w:eastAsia="Georgia" w:hAnsi="Georgia"/>
          <w:b/>
          <w:bCs/>
          <w:sz w:val="22"/>
          <w:szCs w:val="22"/>
        </w:rPr>
        <w:t xml:space="preserve">No major changes yet to healthcare or childcare. </w:t>
      </w:r>
      <w:r>
        <w:rPr>
          <w:rFonts w:ascii="Georgia" w:cs="Georgia" w:eastAsia="Georgia" w:hAnsi="Georgia"/>
          <w:color w:val="1A1A1A"/>
          <w:sz w:val="22"/>
          <w:szCs w:val="22"/>
        </w:rPr>
        <w:t xml:space="preserve">Universal healthcare and childcare commitments take 4-7 years to fully deploy; Year 1 is foundation-laying. The Hendersons see news coverage of pilots in select states but their daily costs don't change.</w:t>
      </w:r>
    </w:p>
    <w:p>
      <w:pPr>
        <w:spacing w:after="200" w:line="320"/>
        <w:jc w:val="both"/>
      </w:pPr>
      <w:r>
        <w:rPr>
          <w:rFonts w:ascii="Georgia" w:cs="Georgia" w:eastAsia="Georgia" w:hAnsi="Georgia"/>
          <w:b/>
          <w:bCs/>
          <w:sz w:val="22"/>
          <w:szCs w:val="22"/>
        </w:rPr>
        <w:t xml:space="preserve">Path A broadband expansion begins. </w:t>
      </w:r>
      <w:r>
        <w:rPr>
          <w:rFonts w:ascii="Georgia" w:cs="Georgia" w:eastAsia="Georgia" w:hAnsi="Georgia"/>
          <w:color w:val="1A1A1A"/>
          <w:sz w:val="22"/>
          <w:szCs w:val="22"/>
        </w:rPr>
        <w:t xml:space="preserve">Initial deployment in rural areas first; the Hendersons' suburban location doesn't see immediate impact. They hear about it on news but don't experience it directly.</w:t>
      </w:r>
    </w:p>
    <w:p>
      <w:pPr>
        <w:spacing w:after="200" w:line="320"/>
        <w:jc w:val="both"/>
      </w:pPr>
      <w:r>
        <w:rPr>
          <w:rFonts w:ascii="Georgia" w:cs="Georgia" w:eastAsia="Georgia" w:hAnsi="Georgia"/>
          <w:b/>
          <w:bCs/>
          <w:sz w:val="22"/>
          <w:szCs w:val="22"/>
        </w:rPr>
        <w:t xml:space="preserve">Year 1 net household impact: approximately +$1,200 (the bridge credit). </w:t>
      </w:r>
      <w:r>
        <w:rPr>
          <w:rFonts w:ascii="Georgia" w:cs="Georgia" w:eastAsia="Georgia" w:hAnsi="Georgia"/>
          <w:color w:val="1A1A1A"/>
          <w:sz w:val="22"/>
          <w:szCs w:val="22"/>
        </w:rPr>
        <w:t xml:space="preserve">Real but modest. Conversation among the Hendersons: cautious optimism from Sarah, skeptical wait-and-see from David.</w:t>
      </w:r>
    </w:p>
    <w:p>
      <w:pPr>
        <w:pStyle w:val="Heading2"/>
        <w:spacing w:after="160" w:before="360"/>
      </w:pPr>
      <w:r>
        <w:rPr>
          <w:rFonts w:ascii="Arial" w:cs="Arial" w:eastAsia="Arial" w:hAnsi="Arial"/>
          <w:b/>
          <w:bCs/>
          <w:color w:val="1F4E78"/>
          <w:sz w:val="28"/>
          <w:szCs w:val="28"/>
        </w:rPr>
        <w:t xml:space="preserve">Year 5: Path A Expansion</w:t>
      </w:r>
    </w:p>
    <w:p>
      <w:pPr>
        <w:spacing w:after="200" w:line="320"/>
        <w:jc w:val="both"/>
      </w:pPr>
      <w:r>
        <w:rPr>
          <w:rFonts w:ascii="Georgia" w:cs="Georgia" w:eastAsia="Georgia" w:hAnsi="Georgia"/>
          <w:color w:val="1A1A1A"/>
          <w:sz w:val="22"/>
          <w:szCs w:val="22"/>
        </w:rPr>
        <w:t xml:space="preserve">Five years after platform launch. Significant changes are now visible in the Hendersons' daily experience:</w:t>
      </w:r>
    </w:p>
    <w:p>
      <w:pPr>
        <w:spacing w:after="200" w:line="320"/>
        <w:jc w:val="both"/>
      </w:pPr>
      <w:r>
        <w:rPr>
          <w:rFonts w:ascii="Georgia" w:cs="Georgia" w:eastAsia="Georgia" w:hAnsi="Georgia"/>
          <w:b/>
          <w:bCs/>
          <w:sz w:val="22"/>
          <w:szCs w:val="22"/>
        </w:rPr>
        <w:t xml:space="preserve">Path A broadband deployed in their neighborhood. </w:t>
      </w:r>
      <w:r>
        <w:rPr>
          <w:rFonts w:ascii="Georgia" w:cs="Georgia" w:eastAsia="Georgia" w:hAnsi="Georgia"/>
          <w:color w:val="1A1A1A"/>
          <w:sz w:val="22"/>
          <w:szCs w:val="22"/>
        </w:rPr>
        <w:t xml:space="preserve">Universal high-speed broadband at federal-set baseline cost (approximately $40/month for the Hendersons' service tier). Previous costs were $90/month with Spectrum. Annual savings: $600. Sarah noticed immediately; David grudgingly acknowledged “this was actually pretty good.”</w:t>
      </w:r>
    </w:p>
    <w:p>
      <w:pPr>
        <w:spacing w:after="200" w:line="320"/>
        <w:jc w:val="both"/>
      </w:pPr>
      <w:r>
        <w:rPr>
          <w:rFonts w:ascii="Georgia" w:cs="Georgia" w:eastAsia="Georgia" w:hAnsi="Georgia"/>
          <w:b/>
          <w:bCs/>
          <w:sz w:val="22"/>
          <w:szCs w:val="22"/>
        </w:rPr>
        <w:t xml:space="preserve">Universal pre-K available. </w:t>
      </w:r>
      <w:r>
        <w:rPr>
          <w:rFonts w:ascii="Georgia" w:cs="Georgia" w:eastAsia="Georgia" w:hAnsi="Georgia"/>
          <w:color w:val="1A1A1A"/>
          <w:sz w:val="22"/>
          <w:szCs w:val="22"/>
        </w:rPr>
        <w:t xml:space="preserve">Tyler (now 9) is past pre-K age, but the Hendersons' nephew benefits, and they recognize what it would have meant when Emma and Tyler were younger. Approximate value, if it had been available: $14,000-18,000 in childcare costs avoided across both children's pre-K years.</w:t>
      </w:r>
    </w:p>
    <w:p>
      <w:pPr>
        <w:spacing w:after="200" w:line="320"/>
        <w:jc w:val="both"/>
      </w:pPr>
      <w:r>
        <w:rPr>
          <w:rFonts w:ascii="Georgia" w:cs="Georgia" w:eastAsia="Georgia" w:hAnsi="Georgia"/>
          <w:b/>
          <w:bCs/>
          <w:sz w:val="22"/>
          <w:szCs w:val="22"/>
        </w:rPr>
        <w:t xml:space="preserve">Healthcare changes deploying. </w:t>
      </w:r>
      <w:r>
        <w:rPr>
          <w:rFonts w:ascii="Georgia" w:cs="Georgia" w:eastAsia="Georgia" w:hAnsi="Georgia"/>
          <w:color w:val="1A1A1A"/>
          <w:sz w:val="22"/>
          <w:szCs w:val="22"/>
        </w:rPr>
        <w:t xml:space="preserve">Universal healthcare access provisions are partially deployed. The Hendersons remain on Sarah's employer plan, but premium costs have stabilized (rather than rising 8-12% annually as before). Out-of-pocket costs are capped at $4,000/year (down from typical $7,500 in heavy years). Annual savings: approximately $1,800.</w:t>
      </w:r>
    </w:p>
    <w:p>
      <w:pPr>
        <w:spacing w:after="200" w:line="320"/>
        <w:jc w:val="both"/>
      </w:pPr>
      <w:r>
        <w:rPr>
          <w:rFonts w:ascii="Georgia" w:cs="Georgia" w:eastAsia="Georgia" w:hAnsi="Georgia"/>
          <w:b/>
          <w:bCs/>
          <w:sz w:val="22"/>
          <w:szCs w:val="22"/>
        </w:rPr>
        <w:t xml:space="preserve">Sovereign Fund first disbursements. </w:t>
      </w:r>
      <w:r>
        <w:rPr>
          <w:rFonts w:ascii="Georgia" w:cs="Georgia" w:eastAsia="Georgia" w:hAnsi="Georgia"/>
          <w:color w:val="1A1A1A"/>
          <w:sz w:val="22"/>
          <w:szCs w:val="22"/>
        </w:rPr>
        <w:t xml:space="preserve">Fund covers approximately 15% of platform commitments by Year 5; rising. Visible to citizens primarily through news coverage of healthcare and broadband deployments funded partly from Fund returns rather than direct taxation.</w:t>
      </w:r>
    </w:p>
    <w:p>
      <w:pPr>
        <w:spacing w:after="200" w:line="320"/>
        <w:jc w:val="both"/>
      </w:pPr>
      <w:r>
        <w:rPr>
          <w:rFonts w:ascii="Georgia" w:cs="Georgia" w:eastAsia="Georgia" w:hAnsi="Georgia"/>
          <w:b/>
          <w:bCs/>
          <w:sz w:val="22"/>
          <w:szCs w:val="22"/>
        </w:rPr>
        <w:t xml:space="preserve">Tax changes. </w:t>
      </w:r>
      <w:r>
        <w:rPr>
          <w:rFonts w:ascii="Georgia" w:cs="Georgia" w:eastAsia="Georgia" w:hAnsi="Georgia"/>
          <w:color w:val="1A1A1A"/>
          <w:sz w:val="22"/>
          <w:szCs w:val="22"/>
        </w:rPr>
        <w:t xml:space="preserve">The Hendersons' federal tax burden increased modestly (~$1,400/year additional) to fund platform commitments not yet covered by the Sovereign Fund. They notice this and David particularly attends to it.</w:t>
      </w:r>
    </w:p>
    <w:p>
      <w:pPr>
        <w:spacing w:after="200" w:line="320"/>
        <w:jc w:val="both"/>
      </w:pPr>
      <w:r>
        <w:rPr>
          <w:rFonts w:ascii="Georgia" w:cs="Georgia" w:eastAsia="Georgia" w:hAnsi="Georgia"/>
          <w:b/>
          <w:bCs/>
          <w:sz w:val="22"/>
          <w:szCs w:val="22"/>
        </w:rPr>
        <w:t xml:space="preserve">Year 5 net household impact: approximately +$3,000/year. </w:t>
      </w:r>
      <w:r>
        <w:rPr>
          <w:rFonts w:ascii="Georgia" w:cs="Georgia" w:eastAsia="Georgia" w:hAnsi="Georgia"/>
          <w:color w:val="1A1A1A"/>
          <w:sz w:val="22"/>
          <w:szCs w:val="22"/>
        </w:rPr>
        <w:t xml:space="preserve">Broadband savings + healthcare savings - tax increase. Real and accumulating. Conversation: Sarah is more confident; David is less skeptical (“it's not the disaster I thought it would be”) but still attentive to political opposition messaging.</w:t>
      </w:r>
    </w:p>
    <w:p>
      <w:pPr>
        <w:pStyle w:val="Heading2"/>
        <w:spacing w:after="160" w:before="360"/>
      </w:pPr>
      <w:r>
        <w:rPr>
          <w:rFonts w:ascii="Arial" w:cs="Arial" w:eastAsia="Arial" w:hAnsi="Arial"/>
          <w:b/>
          <w:bCs/>
          <w:color w:val="1F4E78"/>
          <w:sz w:val="28"/>
          <w:szCs w:val="28"/>
        </w:rPr>
        <w:t xml:space="preserve">Year 7: Path A Universal, Healthcare Maturing</w:t>
      </w:r>
    </w:p>
    <w:p>
      <w:pPr>
        <w:spacing w:after="200" w:line="320"/>
        <w:jc w:val="both"/>
      </w:pPr>
      <w:r>
        <w:rPr>
          <w:rFonts w:ascii="Georgia" w:cs="Georgia" w:eastAsia="Georgia" w:hAnsi="Georgia"/>
          <w:color w:val="1A1A1A"/>
          <w:sz w:val="22"/>
          <w:szCs w:val="22"/>
        </w:rPr>
        <w:t xml:space="preserve">Seven years in. Major deployment milestones are now reached:</w:t>
      </w:r>
    </w:p>
    <w:p>
      <w:pPr>
        <w:spacing w:after="200" w:line="320"/>
        <w:jc w:val="both"/>
      </w:pPr>
      <w:r>
        <w:rPr>
          <w:rFonts w:ascii="Georgia" w:cs="Georgia" w:eastAsia="Georgia" w:hAnsi="Georgia"/>
          <w:b/>
          <w:bCs/>
          <w:sz w:val="22"/>
          <w:szCs w:val="22"/>
        </w:rPr>
        <w:t xml:space="preserve">Universal Path A broadband. </w:t>
      </w:r>
      <w:r>
        <w:rPr>
          <w:rFonts w:ascii="Georgia" w:cs="Georgia" w:eastAsia="Georgia" w:hAnsi="Georgia"/>
          <w:color w:val="1A1A1A"/>
          <w:sz w:val="22"/>
          <w:szCs w:val="22"/>
        </w:rPr>
        <w:t xml:space="preserve">Available everywhere at federally-regulated cost. Annual broadband savings have stabilized at approximately $600/year for the Hendersons. They take this for granted now — it's just how broadband works.</w:t>
      </w:r>
    </w:p>
    <w:p>
      <w:pPr>
        <w:spacing w:after="200" w:line="320"/>
        <w:jc w:val="both"/>
      </w:pPr>
      <w:r>
        <w:rPr>
          <w:rFonts w:ascii="Georgia" w:cs="Georgia" w:eastAsia="Georgia" w:hAnsi="Georgia"/>
          <w:b/>
          <w:bCs/>
          <w:sz w:val="22"/>
          <w:szCs w:val="22"/>
        </w:rPr>
        <w:t xml:space="preserve">Healthcare cost stabilization. </w:t>
      </w:r>
      <w:r>
        <w:rPr>
          <w:rFonts w:ascii="Georgia" w:cs="Georgia" w:eastAsia="Georgia" w:hAnsi="Georgia"/>
          <w:color w:val="1A1A1A"/>
          <w:sz w:val="22"/>
          <w:szCs w:val="22"/>
        </w:rPr>
        <w:t xml:space="preserve">Insurance premiums have grown at general inflation rate rather than healthcare-specific inflation. Out-of-pocket caps fully deployed. Hendersons' annual healthcare savings: approximately $2,800/year.</w:t>
      </w:r>
    </w:p>
    <w:p>
      <w:pPr>
        <w:spacing w:after="200" w:line="320"/>
        <w:jc w:val="both"/>
      </w:pPr>
      <w:r>
        <w:rPr>
          <w:rFonts w:ascii="Georgia" w:cs="Georgia" w:eastAsia="Georgia" w:hAnsi="Georgia"/>
          <w:b/>
          <w:bCs/>
          <w:sz w:val="22"/>
          <w:szCs w:val="22"/>
        </w:rPr>
        <w:t xml:space="preserve">Tyler entering K-8 with universal-pre-K cohort. </w:t>
      </w:r>
      <w:r>
        <w:rPr>
          <w:rFonts w:ascii="Georgia" w:cs="Georgia" w:eastAsia="Georgia" w:hAnsi="Georgia"/>
          <w:color w:val="1A1A1A"/>
          <w:sz w:val="22"/>
          <w:szCs w:val="22"/>
        </w:rPr>
        <w:t xml:space="preserve">Improved school readiness in Tyler's class is visible — teachers report fewer students starting kindergarten unprepared. Sarah notices this in parent-teacher conferences.</w:t>
      </w:r>
    </w:p>
    <w:p>
      <w:pPr>
        <w:spacing w:after="200" w:line="320"/>
        <w:jc w:val="both"/>
      </w:pPr>
      <w:r>
        <w:rPr>
          <w:rFonts w:ascii="Georgia" w:cs="Georgia" w:eastAsia="Georgia" w:hAnsi="Georgia"/>
          <w:b/>
          <w:bCs/>
          <w:sz w:val="22"/>
          <w:szCs w:val="22"/>
        </w:rPr>
        <w:t xml:space="preserve">Tax stability. </w:t>
      </w:r>
      <w:r>
        <w:rPr>
          <w:rFonts w:ascii="Georgia" w:cs="Georgia" w:eastAsia="Georgia" w:hAnsi="Georgia"/>
          <w:color w:val="1A1A1A"/>
          <w:sz w:val="22"/>
          <w:szCs w:val="22"/>
        </w:rPr>
        <w:t xml:space="preserve">Sovereign Fund covers ~25% of platform commitments now. Tax burden has stabilized rather than continuing to rise. The Hendersons' modest tax increase (~$1,400/year) hasn't grown.</w:t>
      </w:r>
    </w:p>
    <w:p>
      <w:pPr>
        <w:spacing w:after="200" w:line="320"/>
        <w:jc w:val="both"/>
      </w:pPr>
      <w:r>
        <w:rPr>
          <w:rFonts w:ascii="Georgia" w:cs="Georgia" w:eastAsia="Georgia" w:hAnsi="Georgia"/>
          <w:b/>
          <w:bCs/>
          <w:sz w:val="22"/>
          <w:szCs w:val="22"/>
        </w:rPr>
        <w:t xml:space="preserve">Year 7 net household impact: approximately +$5,500/year. </w:t>
      </w:r>
      <w:r>
        <w:rPr>
          <w:rFonts w:ascii="Georgia" w:cs="Georgia" w:eastAsia="Georgia" w:hAnsi="Georgia"/>
          <w:color w:val="1A1A1A"/>
          <w:sz w:val="22"/>
          <w:szCs w:val="22"/>
        </w:rPr>
        <w:t xml:space="preserve">Sustained and visible benefits. Conversation: Both Sarah and David are increasingly confident in platform durability. David has shifted from “skeptical wait-and-see” to “this seems to be working.”</w:t>
      </w:r>
    </w:p>
    <w:p>
      <w:pPr>
        <w:pStyle w:val="Heading2"/>
        <w:spacing w:after="160" w:before="360"/>
      </w:pPr>
      <w:r>
        <w:rPr>
          <w:rFonts w:ascii="Arial" w:cs="Arial" w:eastAsia="Arial" w:hAnsi="Arial"/>
          <w:b/>
          <w:bCs/>
          <w:color w:val="1F4E78"/>
          <w:sz w:val="28"/>
          <w:szCs w:val="28"/>
        </w:rPr>
        <w:t xml:space="preserve">Year 12: Sovereign Fund at Scale</w:t>
      </w:r>
    </w:p>
    <w:p>
      <w:pPr>
        <w:spacing w:after="200" w:line="320"/>
        <w:jc w:val="both"/>
      </w:pPr>
      <w:r>
        <w:rPr>
          <w:rFonts w:ascii="Georgia" w:cs="Georgia" w:eastAsia="Georgia" w:hAnsi="Georgia"/>
          <w:color w:val="1A1A1A"/>
          <w:sz w:val="22"/>
          <w:szCs w:val="22"/>
        </w:rPr>
        <w:t xml:space="preserve">Twelve years in. The platform has reached its mature deployment state:</w:t>
      </w:r>
    </w:p>
    <w:p>
      <w:pPr>
        <w:spacing w:after="200" w:line="320"/>
        <w:jc w:val="both"/>
      </w:pPr>
      <w:r>
        <w:rPr>
          <w:rFonts w:ascii="Georgia" w:cs="Georgia" w:eastAsia="Georgia" w:hAnsi="Georgia"/>
          <w:b/>
          <w:bCs/>
          <w:sz w:val="22"/>
          <w:szCs w:val="22"/>
        </w:rPr>
        <w:t xml:space="preserve">Sovereign Fund at scale. </w:t>
      </w:r>
      <w:r>
        <w:rPr>
          <w:rFonts w:ascii="Georgia" w:cs="Georgia" w:eastAsia="Georgia" w:hAnsi="Georgia"/>
          <w:color w:val="1A1A1A"/>
          <w:sz w:val="22"/>
          <w:szCs w:val="22"/>
        </w:rPr>
        <w:t xml:space="preserve">Fund covers approximately 55% of platform commitments. Federal tax burden on the Hendersons has actually decreased modestly relative to Year 5 levels, as Fund returns offset direct taxpayer burden.</w:t>
      </w:r>
    </w:p>
    <w:p>
      <w:pPr>
        <w:spacing w:after="200" w:line="320"/>
        <w:jc w:val="both"/>
      </w:pPr>
      <w:r>
        <w:rPr>
          <w:rFonts w:ascii="Georgia" w:cs="Georgia" w:eastAsia="Georgia" w:hAnsi="Georgia"/>
          <w:b/>
          <w:bCs/>
          <w:sz w:val="22"/>
          <w:szCs w:val="22"/>
        </w:rPr>
        <w:t xml:space="preserve">Healthcare fully mature. </w:t>
      </w:r>
      <w:r>
        <w:rPr>
          <w:rFonts w:ascii="Georgia" w:cs="Georgia" w:eastAsia="Georgia" w:hAnsi="Georgia"/>
          <w:color w:val="1A1A1A"/>
          <w:sz w:val="22"/>
          <w:szCs w:val="22"/>
        </w:rPr>
        <w:t xml:space="preserve">Universal healthcare access fully deployed. The Hendersons' annual healthcare costs are approximately $4,800/year (down from $16,800/year pre-platform). Annual savings: approximately $12,000/year.</w:t>
      </w:r>
    </w:p>
    <w:p>
      <w:pPr>
        <w:spacing w:after="200" w:line="320"/>
        <w:jc w:val="both"/>
      </w:pPr>
      <w:r>
        <w:rPr>
          <w:rFonts w:ascii="Georgia" w:cs="Georgia" w:eastAsia="Georgia" w:hAnsi="Georgia"/>
          <w:b/>
          <w:bCs/>
          <w:sz w:val="22"/>
          <w:szCs w:val="22"/>
        </w:rPr>
        <w:t xml:space="preserve">Childcare benefits realized retroactively. </w:t>
      </w:r>
      <w:r>
        <w:rPr>
          <w:rFonts w:ascii="Georgia" w:cs="Georgia" w:eastAsia="Georgia" w:hAnsi="Georgia"/>
          <w:color w:val="1A1A1A"/>
          <w:sz w:val="22"/>
          <w:szCs w:val="22"/>
        </w:rPr>
        <w:t xml:space="preserve">Emma is now 21 and starting college; Tyler is 17 and approaching college. Universal pre-K, K-12 quality improvements, and tuition support for college are all available. The Hendersons' college support burden is approximately $4,000/year for Emma vs. the $25,000/year they had budgeted pre-platform.</w:t>
      </w:r>
    </w:p>
    <w:p>
      <w:pPr>
        <w:spacing w:after="200" w:line="320"/>
        <w:jc w:val="both"/>
      </w:pPr>
      <w:r>
        <w:rPr>
          <w:rFonts w:ascii="Georgia" w:cs="Georgia" w:eastAsia="Georgia" w:hAnsi="Georgia"/>
          <w:b/>
          <w:bCs/>
          <w:sz w:val="22"/>
          <w:szCs w:val="22"/>
        </w:rPr>
        <w:t xml:space="preserve">Retirement security clearer. </w:t>
      </w:r>
      <w:r>
        <w:rPr>
          <w:rFonts w:ascii="Georgia" w:cs="Georgia" w:eastAsia="Georgia" w:hAnsi="Georgia"/>
          <w:color w:val="1A1A1A"/>
          <w:sz w:val="22"/>
          <w:szCs w:val="22"/>
        </w:rPr>
        <w:t xml:space="preserve">Sarah and David, now 50 and 53, can see the Sovereign Fund's projected coverage of their retirement years. Their direct retirement saving needs have decreased; they've redirected savings toward house improvements and travel.</w:t>
      </w:r>
    </w:p>
    <w:p>
      <w:pPr>
        <w:spacing w:after="200" w:line="320"/>
        <w:jc w:val="both"/>
      </w:pPr>
      <w:r>
        <w:rPr>
          <w:rFonts w:ascii="Georgia" w:cs="Georgia" w:eastAsia="Georgia" w:hAnsi="Georgia"/>
          <w:b/>
          <w:bCs/>
          <w:sz w:val="22"/>
          <w:szCs w:val="22"/>
        </w:rPr>
        <w:t xml:space="preserve">Year 12 net household impact: approximately +$22,000/year. </w:t>
      </w:r>
      <w:r>
        <w:rPr>
          <w:rFonts w:ascii="Georgia" w:cs="Georgia" w:eastAsia="Georgia" w:hAnsi="Georgia"/>
          <w:color w:val="1A1A1A"/>
          <w:sz w:val="22"/>
          <w:szCs w:val="22"/>
        </w:rPr>
        <w:t xml:space="preserve">Substantial and life-altering. Conversation: Both Sarah and David now actively support the platform. David's framing has shifted from “it's not bad” to “this was actually transformational for our family.”</w:t>
      </w:r>
    </w:p>
    <w:p>
      <w:pPr>
        <w:pStyle w:val="Heading2"/>
        <w:spacing w:after="160" w:before="360"/>
      </w:pPr>
      <w:r>
        <w:rPr>
          <w:rFonts w:ascii="Arial" w:cs="Arial" w:eastAsia="Arial" w:hAnsi="Arial"/>
          <w:b/>
          <w:bCs/>
          <w:color w:val="1F4E78"/>
          <w:sz w:val="28"/>
          <w:szCs w:val="28"/>
        </w:rPr>
        <w:t xml:space="preserve">Year 30: Steady State</w:t>
      </w:r>
    </w:p>
    <w:p>
      <w:pPr>
        <w:spacing w:after="200" w:line="320"/>
        <w:jc w:val="both"/>
      </w:pPr>
      <w:r>
        <w:rPr>
          <w:rFonts w:ascii="Georgia" w:cs="Georgia" w:eastAsia="Georgia" w:hAnsi="Georgia"/>
          <w:color w:val="1A1A1A"/>
          <w:sz w:val="22"/>
          <w:szCs w:val="22"/>
        </w:rPr>
        <w:t xml:space="preserve">Thirty years in. The Hendersons are now retired (Sarah 68, David 71). Their retrospective on platform impact:</w:t>
      </w:r>
    </w:p>
    <w:p>
      <w:pPr>
        <w:spacing w:after="200" w:line="320"/>
        <w:jc w:val="both"/>
      </w:pPr>
      <w:r>
        <w:rPr>
          <w:rFonts w:ascii="Georgia" w:cs="Georgia" w:eastAsia="Georgia" w:hAnsi="Georgia"/>
          <w:b/>
          <w:bCs/>
          <w:sz w:val="22"/>
          <w:szCs w:val="22"/>
        </w:rPr>
        <w:t xml:space="preserve">Cumulative 30-year benefit. </w:t>
      </w:r>
      <w:r>
        <w:rPr>
          <w:rFonts w:ascii="Georgia" w:cs="Georgia" w:eastAsia="Georgia" w:hAnsi="Georgia"/>
          <w:color w:val="1A1A1A"/>
          <w:sz w:val="22"/>
          <w:szCs w:val="22"/>
        </w:rPr>
        <w:t xml:space="preserve">Approximately $580,000 in total household benefits net of tax contributions. This includes healthcare savings ($240,000), childcare benefits ($45,000), education savings ($95,000), broadband savings ($18,000), retirement security supplements ($120,000), and various smaller benefits.</w:t>
      </w:r>
    </w:p>
    <w:p>
      <w:pPr>
        <w:spacing w:after="200" w:line="320"/>
        <w:jc w:val="both"/>
      </w:pPr>
      <w:r>
        <w:rPr>
          <w:rFonts w:ascii="Georgia" w:cs="Georgia" w:eastAsia="Georgia" w:hAnsi="Georgia"/>
          <w:b/>
          <w:bCs/>
          <w:sz w:val="22"/>
          <w:szCs w:val="22"/>
        </w:rPr>
        <w:t xml:space="preserve">Wealth position. </w:t>
      </w:r>
      <w:r>
        <w:rPr>
          <w:rFonts w:ascii="Georgia" w:cs="Georgia" w:eastAsia="Georgia" w:hAnsi="Georgia"/>
          <w:color w:val="1A1A1A"/>
          <w:sz w:val="22"/>
          <w:szCs w:val="22"/>
        </w:rPr>
        <w:t xml:space="preserve">The Hendersons' household net worth at retirement is approximately $1.2 million (including home equity, retirement accounts, and savings). Pre-platform projections, given their pre-platform spending pattern, would have been approximately $480,000. The platform produced an additional $720,000 in lifetime wealth accumulation — the result of healthcare savings, childcare savings, and education savings being redirected to investment over decades.</w:t>
      </w:r>
    </w:p>
    <w:p>
      <w:pPr>
        <w:spacing w:after="200" w:line="320"/>
        <w:jc w:val="both"/>
      </w:pPr>
      <w:r>
        <w:rPr>
          <w:rFonts w:ascii="Georgia" w:cs="Georgia" w:eastAsia="Georgia" w:hAnsi="Georgia"/>
          <w:b/>
          <w:bCs/>
          <w:sz w:val="22"/>
          <w:szCs w:val="22"/>
        </w:rPr>
        <w:t xml:space="preserve">Children's outcomes. </w:t>
      </w:r>
      <w:r>
        <w:rPr>
          <w:rFonts w:ascii="Georgia" w:cs="Georgia" w:eastAsia="Georgia" w:hAnsi="Georgia"/>
          <w:color w:val="1A1A1A"/>
          <w:sz w:val="22"/>
          <w:szCs w:val="22"/>
        </w:rPr>
        <w:t xml:space="preserve">Emma graduated debt-free from a flagship state university; she's a software engineer earning $145,000. Tyler is a teacher earning $58,000, also debt-free. Both have access to universal healthcare, broadband, and the Sovereign Fund's retirement infrastructure for their own families.</w:t>
      </w:r>
    </w:p>
    <w:p>
      <w:pPr>
        <w:spacing w:after="200" w:line="320"/>
        <w:jc w:val="both"/>
      </w:pPr>
      <w:r>
        <w:rPr>
          <w:rFonts w:ascii="Georgia" w:cs="Georgia" w:eastAsia="Georgia" w:hAnsi="Georgia"/>
          <w:b/>
          <w:bCs/>
          <w:sz w:val="22"/>
          <w:szCs w:val="22"/>
        </w:rPr>
        <w:t xml:space="preserve">Year 30 retrospective: </w:t>
      </w:r>
      <w:r>
        <w:rPr>
          <w:rFonts w:ascii="Georgia" w:cs="Georgia" w:eastAsia="Georgia" w:hAnsi="Georgia"/>
          <w:color w:val="1A1A1A"/>
          <w:sz w:val="22"/>
          <w:szCs w:val="22"/>
        </w:rPr>
        <w:t xml:space="preserve">The Hendersons' political position has fully consolidated as platform supporters. They've voted for platform-aligned candidates in every cycle since approximately Year 10. They've donated to platform-supportive organizations. They've talked to neighbors and family about the platform's impact on their lives. They became the kind of activated citizen-supporter the moderate-to-optimistic scenarios assume but don't automatically produce.</w:t>
      </w:r>
    </w:p>
    <w:p>
      <w:pPr>
        <w:pStyle w:val="Heading2"/>
        <w:spacing w:after="160" w:before="360"/>
      </w:pPr>
      <w:r>
        <w:rPr>
          <w:rFonts w:ascii="Arial" w:cs="Arial" w:eastAsia="Arial" w:hAnsi="Arial"/>
          <w:b/>
          <w:bCs/>
          <w:color w:val="1F4E78"/>
          <w:sz w:val="28"/>
          <w:szCs w:val="28"/>
        </w:rPr>
        <w:t xml:space="preserve">The Conversion Journey</w:t>
      </w:r>
    </w:p>
    <w:p>
      <w:pPr>
        <w:spacing w:after="200" w:line="320"/>
        <w:jc w:val="both"/>
      </w:pPr>
      <w:r>
        <w:rPr>
          <w:rFonts w:ascii="Georgia" w:cs="Georgia" w:eastAsia="Georgia" w:hAnsi="Georgia"/>
          <w:color w:val="1A1A1A"/>
          <w:sz w:val="22"/>
          <w:szCs w:val="22"/>
        </w:rPr>
        <w:t xml:space="preserve">The Hendersons' journey from beneficiary to active supporter took approximately 7-10 years. Their conversion was not automatic upon platform passage; it was earned through visible benefit delivery. Several specific moments mattered most:</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E8F0F8"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Conversion turning points</w:t>
            </w:r>
          </w:p>
          <w:p>
            <w:pPr>
              <w:spacing w:after="100" w:line="280"/>
            </w:pPr>
            <w:r>
              <w:rPr>
                <w:rFonts w:ascii="Georgia" w:cs="Georgia" w:eastAsia="Georgia" w:hAnsi="Georgia"/>
                <w:color w:val="1A1A1A"/>
                <w:sz w:val="21"/>
                <w:szCs w:val="21"/>
              </w:rPr>
              <w:t xml:space="preserve">•  Year 1: Bridge credit visible (modest but real; “this is actually happening” rather than “this was just talk”)</w:t>
            </w:r>
          </w:p>
          <w:p>
            <w:pPr>
              <w:spacing w:after="100" w:line="280"/>
            </w:pPr>
            <w:r>
              <w:rPr>
                <w:rFonts w:ascii="Georgia" w:cs="Georgia" w:eastAsia="Georgia" w:hAnsi="Georgia"/>
                <w:color w:val="1A1A1A"/>
                <w:sz w:val="21"/>
                <w:szCs w:val="21"/>
              </w:rPr>
              <w:t xml:space="preserve">•  Year 3-4: First visible deployment in Sarah's healthcare workplace context (“I see how this changes patient experience”)</w:t>
            </w:r>
          </w:p>
          <w:p>
            <w:pPr>
              <w:spacing w:after="100" w:line="280"/>
            </w:pPr>
            <w:r>
              <w:rPr>
                <w:rFonts w:ascii="Georgia" w:cs="Georgia" w:eastAsia="Georgia" w:hAnsi="Georgia"/>
                <w:color w:val="1A1A1A"/>
                <w:sz w:val="21"/>
                <w:szCs w:val="21"/>
              </w:rPr>
              <w:t xml:space="preserve">•  Year 5: Path A broadband saving them money personally (“I was paying $90/month, now I'm paying $40”)</w:t>
            </w:r>
          </w:p>
          <w:p>
            <w:pPr>
              <w:spacing w:after="100" w:line="280"/>
            </w:pPr>
            <w:r>
              <w:rPr>
                <w:rFonts w:ascii="Georgia" w:cs="Georgia" w:eastAsia="Georgia" w:hAnsi="Georgia"/>
                <w:color w:val="1A1A1A"/>
                <w:sz w:val="21"/>
                <w:szCs w:val="21"/>
              </w:rPr>
              <w:t xml:space="preserve">•  Year 7: Healthcare cost stabilization persistent (“it's not just a one-time thing”)</w:t>
            </w:r>
          </w:p>
          <w:p>
            <w:pPr>
              <w:spacing w:after="100" w:line="280"/>
            </w:pPr>
            <w:r>
              <w:rPr>
                <w:rFonts w:ascii="Georgia" w:cs="Georgia" w:eastAsia="Georgia" w:hAnsi="Georgia"/>
                <w:color w:val="1A1A1A"/>
                <w:sz w:val="21"/>
                <w:szCs w:val="21"/>
              </w:rPr>
              <w:t xml:space="preserve">•  Year 12: College affordability for Emma (“we were really worried about this; now we're not”)</w:t>
            </w:r>
          </w:p>
          <w:p>
            <w:pPr>
              <w:spacing w:after="100" w:line="280"/>
            </w:pPr>
            <w:r>
              <w:rPr>
                <w:rFonts w:ascii="Georgia" w:cs="Georgia" w:eastAsia="Georgia" w:hAnsi="Georgia"/>
                <w:color w:val="1A1A1A"/>
                <w:sz w:val="21"/>
                <w:szCs w:val="21"/>
              </w:rPr>
              <w:t xml:space="preserve">•  Year 15+: Retirement security clarity (“we can see how this affects our future, not just our present”)</w:t>
            </w:r>
          </w:p>
        </w:tc>
      </w:tr>
    </w:tbl>
    <w:p>
      <w:pPr>
        <w:pStyle w:val="Heading2"/>
        <w:spacing w:after="160" w:before="360"/>
      </w:pPr>
      <w:r>
        <w:rPr>
          <w:rFonts w:ascii="Arial" w:cs="Arial" w:eastAsia="Arial" w:hAnsi="Arial"/>
          <w:b/>
          <w:bCs/>
          <w:color w:val="1F4E78"/>
          <w:sz w:val="28"/>
          <w:szCs w:val="28"/>
        </w:rPr>
        <w:t xml:space="preserve">Counterfactuals</w:t>
      </w:r>
    </w:p>
    <w:p>
      <w:pPr>
        <w:spacing w:after="200" w:line="320"/>
        <w:jc w:val="both"/>
      </w:pPr>
      <w:r>
        <w:rPr>
          <w:rFonts w:ascii="Georgia" w:cs="Georgia" w:eastAsia="Georgia" w:hAnsi="Georgia"/>
          <w:color w:val="1A1A1A"/>
          <w:sz w:val="22"/>
          <w:szCs w:val="22"/>
        </w:rPr>
        <w:t xml:space="preserve">Equally important: what could have prevented this conversion? Several counterfactuals are worth noting:</w:t>
      </w:r>
    </w:p>
    <w:p>
      <w:pPr>
        <w:spacing w:after="200" w:line="320"/>
        <w:jc w:val="both"/>
      </w:pPr>
      <w:r>
        <w:rPr>
          <w:rFonts w:ascii="Georgia" w:cs="Georgia" w:eastAsia="Georgia" w:hAnsi="Georgia"/>
          <w:b/>
          <w:bCs/>
          <w:sz w:val="22"/>
          <w:szCs w:val="22"/>
        </w:rPr>
        <w:t xml:space="preserve">Counterfactual 1: Platform passes but implementation falters. </w:t>
      </w:r>
      <w:r>
        <w:rPr>
          <w:rFonts w:ascii="Georgia" w:cs="Georgia" w:eastAsia="Georgia" w:hAnsi="Georgia"/>
          <w:color w:val="1A1A1A"/>
          <w:sz w:val="22"/>
          <w:szCs w:val="22"/>
        </w:rPr>
        <w:t xml:space="preserve">If Year 1-5 deployment is slow or visibly fails (e.g., Path A broadband deployment behind schedule, healthcare cost stabilization doesn't materialize, childcare access in their region delayed), the Hendersons' Year 5 conversation looks different. Sarah might still support; David might shift to active opposition (“see, I told you this wouldn't work”). Implementation quality matters as much as initial passage.</w:t>
      </w:r>
    </w:p>
    <w:p>
      <w:pPr>
        <w:spacing w:after="200" w:line="320"/>
        <w:jc w:val="both"/>
      </w:pPr>
      <w:r>
        <w:rPr>
          <w:rFonts w:ascii="Georgia" w:cs="Georgia" w:eastAsia="Georgia" w:hAnsi="Georgia"/>
          <w:b/>
          <w:bCs/>
          <w:sz w:val="22"/>
          <w:szCs w:val="22"/>
        </w:rPr>
        <w:t xml:space="preserve">Counterfactual 2: Effective opposition messaging. </w:t>
      </w:r>
      <w:r>
        <w:rPr>
          <w:rFonts w:ascii="Georgia" w:cs="Georgia" w:eastAsia="Georgia" w:hAnsi="Georgia"/>
          <w:color w:val="1A1A1A"/>
          <w:sz w:val="22"/>
          <w:szCs w:val="22"/>
        </w:rPr>
        <w:t xml:space="preserve">If sustained opposition campaigns successfully reframe platform deployments as failures, government overreach, or hidden costs, the Hendersons' interpretation of their experience can shift even when the underlying numbers are favorable. This is why opposition neutralization matters in the optimistic scenario — not just initial passage but durable interpretation of what's happening.</w:t>
      </w:r>
    </w:p>
    <w:p>
      <w:pPr>
        <w:spacing w:after="200" w:line="320"/>
        <w:jc w:val="both"/>
      </w:pPr>
      <w:r>
        <w:rPr>
          <w:rFonts w:ascii="Georgia" w:cs="Georgia" w:eastAsia="Georgia" w:hAnsi="Georgia"/>
          <w:b/>
          <w:bCs/>
          <w:sz w:val="22"/>
          <w:szCs w:val="22"/>
        </w:rPr>
        <w:t xml:space="preserve">Counterfactual 3: Cultural or identity shock. </w:t>
      </w:r>
      <w:r>
        <w:rPr>
          <w:rFonts w:ascii="Georgia" w:cs="Georgia" w:eastAsia="Georgia" w:hAnsi="Georgia"/>
          <w:color w:val="1A1A1A"/>
          <w:sz w:val="22"/>
          <w:szCs w:val="22"/>
        </w:rPr>
        <w:t xml:space="preserve">If platform implementation becomes associated with cultural or identity controversies that the Hendersons are sensitive to, their economic-interest-based support can be overridden by identity-based concerns. This is why the platform's commitment to staying focused on economic substance — rather than entangling with cultural and identity debates — matters for coalition durability.</w:t>
      </w:r>
    </w:p>
    <w:p>
      <w:pPr>
        <w:spacing w:after="200" w:line="320"/>
        <w:jc w:val="both"/>
      </w:pPr>
      <w:r>
        <w:rPr>
          <w:rFonts w:ascii="Georgia" w:cs="Georgia" w:eastAsia="Georgia" w:hAnsi="Georgia"/>
          <w:b/>
          <w:bCs/>
          <w:sz w:val="22"/>
          <w:szCs w:val="22"/>
        </w:rPr>
        <w:t xml:space="preserve">Counterfactual 4: Economic crisis attributed to platform. </w:t>
      </w:r>
      <w:r>
        <w:rPr>
          <w:rFonts w:ascii="Georgia" w:cs="Georgia" w:eastAsia="Georgia" w:hAnsi="Georgia"/>
          <w:color w:val="1A1A1A"/>
          <w:sz w:val="22"/>
          <w:szCs w:val="22"/>
        </w:rPr>
        <w:t xml:space="preserve">If a recession, financial crisis, or major economic disruption occurs during platform deployment, opposition will attribute it to platform commitments regardless of actual cause. The Hendersons' interpretation depends on whether platform proponents can effectively counter-attribute the crisis to its actual causes. This is part of why multi-cycle organizational effort matters — not just for passage but for durable interpretation through inevitable economic cycles.</w:t>
      </w:r>
    </w:p>
    <w:p>
      <w:pPr>
        <w:pStyle w:val="Heading2"/>
        <w:spacing w:after="160" w:before="360"/>
      </w:pPr>
      <w:r>
        <w:rPr>
          <w:rFonts w:ascii="Arial" w:cs="Arial" w:eastAsia="Arial" w:hAnsi="Arial"/>
          <w:b/>
          <w:bCs/>
          <w:color w:val="1F4E78"/>
          <w:sz w:val="28"/>
          <w:szCs w:val="28"/>
        </w:rPr>
        <w:t xml:space="preserve">The Lesson</w:t>
      </w:r>
    </w:p>
    <w:p>
      <w:pPr>
        <w:spacing w:after="200" w:line="320"/>
        <w:jc w:val="both"/>
      </w:pPr>
      <w:r>
        <w:rPr>
          <w:rFonts w:ascii="Georgia" w:cs="Georgia" w:eastAsia="Georgia" w:hAnsi="Georgia"/>
          <w:color w:val="1A1A1A"/>
          <w:sz w:val="22"/>
          <w:szCs w:val="22"/>
        </w:rPr>
        <w:t xml:space="preserve">The Hendersons' walkthrough is a single concrete example of what the abstract conversion rate analysis describes. Their journey from beneficiary to supporter took 7-10 years, was not automatic, depended on multiple specific moments of visible benefit delivery, and could have been prevented by several specific implementation or messaging failures.</w:t>
      </w:r>
    </w:p>
    <w:p>
      <w:pPr>
        <w:spacing w:after="200" w:line="320"/>
        <w:jc w:val="both"/>
      </w:pPr>
      <w:r>
        <w:rPr>
          <w:rFonts w:ascii="Georgia" w:cs="Georgia" w:eastAsia="Georgia" w:hAnsi="Georgia"/>
          <w:color w:val="1A1A1A"/>
          <w:sz w:val="22"/>
          <w:szCs w:val="22"/>
        </w:rPr>
        <w:t xml:space="preserve">Multiplied across approximately 28 million middle-income family-with-kids households, the platform's path to durable mandate runs through 28 million versions of the Hendersons' journey. The optimistic scenario assumes most of them complete that journey. The moderate scenario assumes about half do. The pessimistic scenario assumes most don't.</w:t>
      </w:r>
    </w:p>
    <w:p>
      <w:pPr>
        <w:spacing w:after="200" w:line="320"/>
        <w:jc w:val="both"/>
      </w:pPr>
      <w:r>
        <w:rPr>
          <w:rFonts w:ascii="Georgia" w:cs="Georgia" w:eastAsia="Georgia" w:hAnsi="Georgia"/>
          <w:color w:val="1A1A1A"/>
          <w:sz w:val="22"/>
          <w:szCs w:val="22"/>
        </w:rPr>
        <w:t xml:space="preserve">Coalition strategy that takes the Hendersons' journey seriously will invest in implementation quality (so visible benefits actually materialize), per-citizen messaging (so beneficiaries notice and understand what's changing), opposition neutralization (so beneficiaries' interpretation of their experience doesn't shift), and multi-cycle effort (so the journey can play out across years rather than expecting a single-cycle conversion). Coalition strategy that ignores the Hendersons' journey will produce passage without sustained support and will be vulnerable to subsequent cycle reversal.</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left w:val="single" w:color="C00000" w:sz="24"/>
              <w:bottom w:val="none"/>
              <w:right w:val="none"/>
            </w:tcBorders>
            <w:tcMar>
              <w:top w:type="dxa" w:w="200"/>
              <w:left w:type="dxa" w:w="360"/>
              <w:bottom w:type="dxa" w:w="200"/>
              <w:right w:type="dxa" w:w="240"/>
            </w:tcMar>
          </w:tcPr>
          <w:p>
            <w:pPr>
              <w:spacing w:line="320"/>
            </w:pPr>
            <w:r>
              <w:rPr>
                <w:rFonts w:ascii="Georgia" w:cs="Georgia" w:eastAsia="Georgia" w:hAnsi="Georgia"/>
                <w:i/>
                <w:iCs/>
                <w:color w:val="1F4E78"/>
                <w:sz w:val="26"/>
                <w:szCs w:val="26"/>
              </w:rPr>
              <w:t xml:space="preserve">“The Hendersons' journey from beneficiary to supporter took 7-10 years and was not automatic. Multiplied across 28 million households, this journey is the path to durable mandate.”</w:t>
            </w:r>
          </w:p>
        </w:tc>
      </w:tr>
    </w:tbl>
    <w:p>
      <w:r>
        <w:br w:type="page"/>
      </w:r>
    </w:p>
    <w:p>
      <w:pPr>
        <w:pStyle w:val="Heading1"/>
        <w:spacing w:after="240" w:before="480"/>
      </w:pPr>
      <w:r>
        <w:rPr>
          <w:rFonts w:ascii="Arial" w:cs="Arial" w:eastAsia="Arial" w:hAnsi="Arial"/>
          <w:b/>
          <w:bCs/>
          <w:color w:val="1F4E78"/>
          <w:sz w:val="36"/>
          <w:szCs w:val="36"/>
        </w:rPr>
        <w:t xml:space="preserve">Synthesis: What the Four Walkthroughs Show Together</w:t>
      </w:r>
    </w:p>
    <w:p>
      <w:pPr>
        <w:spacing w:after="240" w:line="340"/>
        <w:jc w:val="both"/>
      </w:pPr>
      <w:r>
        <w:rPr>
          <w:rFonts w:ascii="Georgia" w:cs="Georgia" w:eastAsia="Georgia" w:hAnsi="Georgia"/>
          <w:color w:val="1A1A1A"/>
          <w:sz w:val="24"/>
          <w:szCs w:val="24"/>
        </w:rPr>
        <w:t xml:space="preserve">The four walkthroughs interlock. Each illuminates the others. Read together, they produce a coherent strategic picture that no single angle provides.</w:t>
      </w:r>
    </w:p>
    <w:p>
      <w:pPr>
        <w:pStyle w:val="Heading2"/>
        <w:spacing w:after="160" w:before="360"/>
      </w:pPr>
      <w:r>
        <w:rPr>
          <w:rFonts w:ascii="Arial" w:cs="Arial" w:eastAsia="Arial" w:hAnsi="Arial"/>
          <w:b/>
          <w:bCs/>
          <w:color w:val="1F4E78"/>
          <w:sz w:val="28"/>
          <w:szCs w:val="28"/>
        </w:rPr>
        <w:t xml:space="preserve">The Optimistic Scenario Is Specific, Not Abstract</w:t>
      </w:r>
    </w:p>
    <w:p>
      <w:pPr>
        <w:spacing w:after="200" w:line="320"/>
        <w:jc w:val="both"/>
      </w:pPr>
      <w:r>
        <w:rPr>
          <w:rFonts w:ascii="Georgia" w:cs="Georgia" w:eastAsia="Georgia" w:hAnsi="Georgia"/>
          <w:color w:val="1A1A1A"/>
          <w:sz w:val="22"/>
          <w:szCs w:val="22"/>
        </w:rPr>
        <w:t xml:space="preserve">Walkthrough 1 established that the optimistic scenario isn't aspirational; it's a specific arithmetic outcome of six specific conditions. Each condition is achievable but not automatic; their alignment is the strategic challenge.</w:t>
      </w:r>
    </w:p>
    <w:p>
      <w:pPr>
        <w:spacing w:after="200" w:line="320"/>
        <w:jc w:val="both"/>
      </w:pPr>
      <w:r>
        <w:rPr>
          <w:rFonts w:ascii="Georgia" w:cs="Georgia" w:eastAsia="Georgia" w:hAnsi="Georgia"/>
          <w:color w:val="1A1A1A"/>
          <w:sz w:val="22"/>
          <w:szCs w:val="22"/>
        </w:rPr>
        <w:t xml:space="preserve">Walkthroughs 2-4 illuminate which conditions matter most and where the leverage is. Working-class conversion (Walkthrough 2) is the single most important condition; geographic distribution (Walkthrough 3) is a structural constraint that conversion alone can't overcome; the Henderson family (Walkthrough 4) shows what working-class conversion looks like in practice for one specific household.</w:t>
      </w:r>
    </w:p>
    <w:p>
      <w:pPr>
        <w:pStyle w:val="Heading2"/>
        <w:spacing w:after="160" w:before="360"/>
      </w:pPr>
      <w:r>
        <w:rPr>
          <w:rFonts w:ascii="Arial" w:cs="Arial" w:eastAsia="Arial" w:hAnsi="Arial"/>
          <w:b/>
          <w:bCs/>
          <w:color w:val="1F4E78"/>
          <w:sz w:val="28"/>
          <w:szCs w:val="28"/>
        </w:rPr>
        <w:t xml:space="preserve">Working-Class Conversion Is the Hinge Variable</w:t>
      </w:r>
    </w:p>
    <w:p>
      <w:pPr>
        <w:spacing w:after="200" w:line="320"/>
        <w:jc w:val="both"/>
      </w:pPr>
      <w:r>
        <w:rPr>
          <w:rFonts w:ascii="Georgia" w:cs="Georgia" w:eastAsia="Georgia" w:hAnsi="Georgia"/>
          <w:color w:val="1A1A1A"/>
          <w:sz w:val="22"/>
          <w:szCs w:val="22"/>
        </w:rPr>
        <w:t xml:space="preserve">Walkthrough 2 made the case quantitatively: working-class conversion shifts of 15-20 percentage points produce supporter count shifts of 12-18 million — enough to move between adjacent scenarios.</w:t>
      </w:r>
    </w:p>
    <w:p>
      <w:pPr>
        <w:spacing w:after="200" w:line="320"/>
        <w:jc w:val="both"/>
      </w:pPr>
      <w:r>
        <w:rPr>
          <w:rFonts w:ascii="Georgia" w:cs="Georgia" w:eastAsia="Georgia" w:hAnsi="Georgia"/>
          <w:color w:val="1A1A1A"/>
          <w:sz w:val="22"/>
          <w:szCs w:val="22"/>
        </w:rPr>
        <w:t xml:space="preserve">Walkthrough 3 showed why this matters institutionally: working-class voters in competitive states (PA, MI, WI, OH) are the difference between Senate majority and minority. National working-class conversion that's concentrated in solid-base states produces fewer institutional gains than equivalent conversion distributed across competitive states.</w:t>
      </w:r>
    </w:p>
    <w:p>
      <w:pPr>
        <w:spacing w:after="200" w:line="320"/>
        <w:jc w:val="both"/>
      </w:pPr>
      <w:r>
        <w:rPr>
          <w:rFonts w:ascii="Georgia" w:cs="Georgia" w:eastAsia="Georgia" w:hAnsi="Georgia"/>
          <w:color w:val="1A1A1A"/>
          <w:sz w:val="22"/>
          <w:szCs w:val="22"/>
        </w:rPr>
        <w:t xml:space="preserve">Walkthrough 4 showed what working-class conversion looks like in practice: not abstract aggregate support but specific household-level journeys that take years to complete and depend on visible benefit delivery.</w:t>
      </w:r>
    </w:p>
    <w:p>
      <w:pPr>
        <w:pStyle w:val="Heading2"/>
        <w:spacing w:after="160" w:before="360"/>
      </w:pPr>
      <w:r>
        <w:rPr>
          <w:rFonts w:ascii="Arial" w:cs="Arial" w:eastAsia="Arial" w:hAnsi="Arial"/>
          <w:b/>
          <w:bCs/>
          <w:color w:val="1F4E78"/>
          <w:sz w:val="28"/>
          <w:szCs w:val="28"/>
        </w:rPr>
        <w:t xml:space="preserve">Geographic Distribution Constrains Everything</w:t>
      </w:r>
    </w:p>
    <w:p>
      <w:pPr>
        <w:spacing w:after="200" w:line="320"/>
        <w:jc w:val="both"/>
      </w:pPr>
      <w:r>
        <w:rPr>
          <w:rFonts w:ascii="Georgia" w:cs="Georgia" w:eastAsia="Georgia" w:hAnsi="Georgia"/>
          <w:color w:val="1A1A1A"/>
          <w:sz w:val="22"/>
          <w:szCs w:val="22"/>
        </w:rPr>
        <w:t xml:space="preserve">Walkthrough 3 established that institutional outcomes don't track national popular vote totals — the Senate's malapportionment means coalition geography matters as much as coalition size.</w:t>
      </w:r>
    </w:p>
    <w:p>
      <w:pPr>
        <w:spacing w:after="200" w:line="320"/>
        <w:jc w:val="both"/>
      </w:pPr>
      <w:r>
        <w:rPr>
          <w:rFonts w:ascii="Georgia" w:cs="Georgia" w:eastAsia="Georgia" w:hAnsi="Georgia"/>
          <w:color w:val="1A1A1A"/>
          <w:sz w:val="22"/>
          <w:szCs w:val="22"/>
        </w:rPr>
        <w:t xml:space="preserve">Walkthrough 1's optimistic scenario (~100M supporters, 65% of voters) translates to approximately 50 senators — a bare majority enabling reconciliation but not filibuster-proof legislation. Even maximum plausible national outcomes don't reliably produce 60 Senate seats.</w:t>
      </w:r>
    </w:p>
    <w:p>
      <w:pPr>
        <w:spacing w:after="200" w:line="320"/>
        <w:jc w:val="both"/>
      </w:pPr>
      <w:r>
        <w:rPr>
          <w:rFonts w:ascii="Georgia" w:cs="Georgia" w:eastAsia="Georgia" w:hAnsi="Georgia"/>
          <w:color w:val="1A1A1A"/>
          <w:sz w:val="22"/>
          <w:szCs w:val="22"/>
        </w:rPr>
        <w:t xml:space="preserve">This means platform strategy must include either filibuster reform (a separate political project) or reconciliation packaging (legislative design that fits Senate rules). The Hendersons' Year 5-12 experience (Walkthrough 4) reflects benefits delivered through commitments that fit reconciliation — healthcare, childcare, education, broadband, tax provisions. Civic infrastructure components that don't fit reconciliation face higher institutional barriers.</w:t>
      </w:r>
    </w:p>
    <w:p>
      <w:pPr>
        <w:pStyle w:val="Heading2"/>
        <w:spacing w:after="160" w:before="360"/>
      </w:pPr>
      <w:r>
        <w:rPr>
          <w:rFonts w:ascii="Arial" w:cs="Arial" w:eastAsia="Arial" w:hAnsi="Arial"/>
          <w:b/>
          <w:bCs/>
          <w:color w:val="1F4E78"/>
          <w:sz w:val="28"/>
          <w:szCs w:val="28"/>
        </w:rPr>
        <w:t xml:space="preserve">The Henderson Journey Multiplied</w:t>
      </w:r>
    </w:p>
    <w:p>
      <w:pPr>
        <w:spacing w:after="200" w:line="320"/>
        <w:jc w:val="both"/>
      </w:pPr>
      <w:r>
        <w:rPr>
          <w:rFonts w:ascii="Georgia" w:cs="Georgia" w:eastAsia="Georgia" w:hAnsi="Georgia"/>
          <w:color w:val="1A1A1A"/>
          <w:sz w:val="22"/>
          <w:szCs w:val="22"/>
        </w:rPr>
        <w:t xml:space="preserve">Walkthrough 4 made the abstract conversion analysis concrete: one specific family's 7-10 year journey from beneficiary to active supporter.</w:t>
      </w:r>
    </w:p>
    <w:p>
      <w:pPr>
        <w:spacing w:after="200" w:line="320"/>
        <w:jc w:val="both"/>
      </w:pPr>
      <w:r>
        <w:rPr>
          <w:rFonts w:ascii="Georgia" w:cs="Georgia" w:eastAsia="Georgia" w:hAnsi="Georgia"/>
          <w:color w:val="1A1A1A"/>
          <w:sz w:val="22"/>
          <w:szCs w:val="22"/>
        </w:rPr>
        <w:t xml:space="preserve">Walkthroughs 1-3 establish the scale and structural constraints; Walkthrough 4 shows what the work actually looks like at the household level. Multiplied across 220 million adults in net-positive households, this is the full picture: hundreds of millions of specific household-level journeys, each requiring visible benefit delivery, effective per-citizen messaging, opposition neutralization, and multi-cycle commitment.</w:t>
      </w:r>
    </w:p>
    <w:p>
      <w:pPr>
        <w:spacing w:after="200" w:line="320"/>
        <w:jc w:val="both"/>
      </w:pPr>
      <w:r>
        <w:rPr>
          <w:rFonts w:ascii="Georgia" w:cs="Georgia" w:eastAsia="Georgia" w:hAnsi="Georgia"/>
          <w:color w:val="1A1A1A"/>
          <w:sz w:val="22"/>
          <w:szCs w:val="22"/>
        </w:rPr>
        <w:t xml:space="preserve">Coalition strategy that abstracts away from these specific journeys will produce strategic prescriptions that don't connect to real political work. Coalition strategy that grounds itself in the Hendersons' journey — multiplied across the relevant scale — produces actionable strategic guidance: invest in implementation quality, deploy per-citizen messaging at scale, neutralize opposition messaging on key dimensions, sustain organizational effort across multiple cycles, attend to geographic distribution as much as numerical totals.</w:t>
      </w:r>
    </w:p>
    <w:p>
      <w:pPr>
        <w:pStyle w:val="Heading2"/>
        <w:spacing w:after="160" w:before="360"/>
      </w:pPr>
      <w:r>
        <w:rPr>
          <w:rFonts w:ascii="Arial" w:cs="Arial" w:eastAsia="Arial" w:hAnsi="Arial"/>
          <w:b/>
          <w:bCs/>
          <w:color w:val="1F4E78"/>
          <w:sz w:val="28"/>
          <w:szCs w:val="28"/>
        </w:rPr>
        <w:t xml:space="preserve">Strategic Synthesis</w:t>
      </w:r>
    </w:p>
    <w:p>
      <w:pPr>
        <w:spacing w:after="200" w:line="320"/>
        <w:jc w:val="both"/>
      </w:pPr>
      <w:r>
        <w:rPr>
          <w:rFonts w:ascii="Georgia" w:cs="Georgia" w:eastAsia="Georgia" w:hAnsi="Georgia"/>
          <w:color w:val="1A1A1A"/>
          <w:sz w:val="22"/>
          <w:szCs w:val="22"/>
        </w:rPr>
        <w:t xml:space="preserve">The four walkthroughs together produce a strategic synthesis with five components:</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EAF2EE" w:val="clear"/>
            <w:tcMar>
              <w:top w:type="dxa" w:w="200"/>
              <w:left w:type="dxa" w:w="280"/>
              <w:bottom w:type="dxa" w:w="200"/>
              <w:right w:type="dxa" w:w="280"/>
            </w:tcMar>
          </w:tcPr>
          <w:p>
            <w:pPr>
              <w:spacing w:after="120"/>
            </w:pPr>
            <w:r>
              <w:rPr>
                <w:rFonts w:ascii="Arial" w:cs="Arial" w:eastAsia="Arial" w:hAnsi="Arial"/>
                <w:b/>
                <w:bCs/>
                <w:caps/>
                <w:color w:val="1F4E78"/>
                <w:sz w:val="18"/>
                <w:szCs w:val="18"/>
              </w:rPr>
              <w:t xml:space="preserve">Strategic synthesis from four walkthroughs</w:t>
            </w:r>
          </w:p>
          <w:p>
            <w:pPr>
              <w:spacing w:after="100" w:line="280"/>
            </w:pPr>
            <w:r>
              <w:rPr>
                <w:rFonts w:ascii="Georgia" w:cs="Georgia" w:eastAsia="Georgia" w:hAnsi="Georgia"/>
                <w:color w:val="1A1A1A"/>
                <w:sz w:val="21"/>
                <w:szCs w:val="21"/>
              </w:rPr>
              <w:t xml:space="preserve">•  Implementation quality is upstream of everything else. The Hendersons' conversion depended on visible benefit delivery; opposition neutralization depended on benefits being defensible; geographic outreach depended on benefits actually reaching beneficiaries in less-favorable regions. Implementation quality is the foundation; messaging and organization build on it.</w:t>
            </w:r>
          </w:p>
          <w:p>
            <w:pPr>
              <w:spacing w:after="100" w:line="280"/>
            </w:pPr>
            <w:r>
              <w:rPr>
                <w:rFonts w:ascii="Georgia" w:cs="Georgia" w:eastAsia="Georgia" w:hAnsi="Georgia"/>
                <w:color w:val="1A1A1A"/>
                <w:sz w:val="21"/>
                <w:szCs w:val="21"/>
              </w:rPr>
              <w:t xml:space="preserve">•  Per-citizen messaging is the central communication priority. The shift from federal-program-scale (politically inert) to per-citizen scale (politically activating) is what converts beneficiaries to supporters. Working-class voters respond to specific household impact; geographic outreach requires per-citizen specifics for less-familiar audiences; the Hendersons noticed Path A and healthcare cost stabilization specifically.</w:t>
            </w:r>
          </w:p>
          <w:p>
            <w:pPr>
              <w:spacing w:after="100" w:line="280"/>
            </w:pPr>
            <w:r>
              <w:rPr>
                <w:rFonts w:ascii="Georgia" w:cs="Georgia" w:eastAsia="Georgia" w:hAnsi="Georgia"/>
                <w:color w:val="1A1A1A"/>
                <w:sz w:val="21"/>
                <w:szCs w:val="21"/>
              </w:rPr>
              <w:t xml:space="preserve">•  Working-class conversion above 60% is the highest-leverage strategic priority. This requires messaging quality, messenger development, organizational capacity in working-class communities, and acknowledgment that working-class concerns extend beyond economic interest to cultural and identity questions the platform doesn't directly address.</w:t>
            </w:r>
          </w:p>
          <w:p>
            <w:pPr>
              <w:spacing w:after="100" w:line="280"/>
            </w:pPr>
            <w:r>
              <w:rPr>
                <w:rFonts w:ascii="Georgia" w:cs="Georgia" w:eastAsia="Georgia" w:hAnsi="Georgia"/>
                <w:color w:val="1A1A1A"/>
                <w:sz w:val="21"/>
                <w:szCs w:val="21"/>
              </w:rPr>
              <w:t xml:space="preserve">•  Geographic distribution must inform every strategic decision. National popular vote optimization without geographic strategy produces institutional outcomes insufficient for passage. Competitive-state organization, small-state long-term coalition building, and reconciliation packaging are necessary components.</w:t>
            </w:r>
          </w:p>
          <w:p>
            <w:pPr>
              <w:spacing w:after="100" w:line="280"/>
            </w:pPr>
            <w:r>
              <w:rPr>
                <w:rFonts w:ascii="Georgia" w:cs="Georgia" w:eastAsia="Georgia" w:hAnsi="Georgia"/>
                <w:color w:val="1A1A1A"/>
                <w:sz w:val="21"/>
                <w:szCs w:val="21"/>
              </w:rPr>
              <w:t xml:space="preserve">•  Multi-cycle commitment is non-negotiable. The Hendersons' journey took 7-10 years; the platform's durable mandate requires similar commitment across organizational, candidate, and messaging infrastructure. Single-cycle campaigns produce unstable passage; multi-cycle effort produces durable mandate.</w:t>
            </w:r>
          </w:p>
        </w:tc>
      </w:tr>
    </w:tbl>
    <w:p>
      <w:pPr>
        <w:pStyle w:val="Heading2"/>
        <w:spacing w:after="160" w:before="360"/>
      </w:pPr>
      <w:r>
        <w:rPr>
          <w:rFonts w:ascii="Arial" w:cs="Arial" w:eastAsia="Arial" w:hAnsi="Arial"/>
          <w:b/>
          <w:bCs/>
          <w:color w:val="1F4E78"/>
          <w:sz w:val="28"/>
          <w:szCs w:val="28"/>
        </w:rPr>
        <w:t xml:space="preserve">The Honest Bottom Line</w:t>
      </w:r>
    </w:p>
    <w:p>
      <w:pPr>
        <w:spacing w:after="200" w:line="320"/>
        <w:jc w:val="both"/>
      </w:pPr>
      <w:r>
        <w:rPr>
          <w:rFonts w:ascii="Georgia" w:cs="Georgia" w:eastAsia="Georgia" w:hAnsi="Georgia"/>
          <w:color w:val="1A1A1A"/>
          <w:sz w:val="22"/>
          <w:szCs w:val="22"/>
        </w:rPr>
        <w:t xml:space="preserve">These four walkthroughs together describe what platform passage actually requires. It is achievable. It is not certain. It is specific work — implementation quality, per-citizen messaging, working-class conversion, geographic distribution, multi-cycle effort — not abstract political fortune.</w:t>
      </w:r>
    </w:p>
    <w:p>
      <w:pPr>
        <w:spacing w:after="200" w:line="320"/>
        <w:jc w:val="both"/>
      </w:pPr>
      <w:r>
        <w:rPr>
          <w:rFonts w:ascii="Georgia" w:cs="Georgia" w:eastAsia="Georgia" w:hAnsi="Georgia"/>
          <w:color w:val="1A1A1A"/>
          <w:sz w:val="22"/>
          <w:szCs w:val="22"/>
        </w:rPr>
        <w:t xml:space="preserve">The Coalition Mathematics summary number (88 million expected supporters) is the right summary. These walkthroughs are the substance behind the number. They specify what proponents must do, where leverage is greatest, what the structural constraints are, and what the work looks like at the household level. They are actionable strategic guidance for those who choose to do the work.</w:t>
      </w:r>
    </w:p>
    <w:p>
      <w:pPr>
        <w:spacing w:after="200" w:line="320"/>
        <w:jc w:val="both"/>
      </w:pPr>
      <w:r>
        <w:rPr>
          <w:rFonts w:ascii="Georgia" w:cs="Georgia" w:eastAsia="Georgia" w:hAnsi="Georgia"/>
          <w:color w:val="1A1A1A"/>
          <w:sz w:val="22"/>
          <w:szCs w:val="22"/>
        </w:rPr>
        <w:t xml:space="preserve">The platform's natural coalition is real. Activating it is the work. These four walkthroughs are a map of that work.</w:t>
      </w:r>
    </w:p>
    <w:p>
      <w:pPr>
        <w:spacing w:after="40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left w:val="single" w:color="C00000" w:sz="24"/>
              <w:bottom w:val="none"/>
              <w:right w:val="none"/>
            </w:tcBorders>
            <w:tcMar>
              <w:top w:type="dxa" w:w="200"/>
              <w:left w:type="dxa" w:w="360"/>
              <w:bottom w:type="dxa" w:w="200"/>
              <w:right w:type="dxa" w:w="240"/>
            </w:tcMar>
          </w:tcPr>
          <w:p>
            <w:pPr>
              <w:spacing w:line="320"/>
            </w:pPr>
            <w:r>
              <w:rPr>
                <w:rFonts w:ascii="Georgia" w:cs="Georgia" w:eastAsia="Georgia" w:hAnsi="Georgia"/>
                <w:i/>
                <w:iCs/>
                <w:color w:val="1F4E78"/>
                <w:sz w:val="26"/>
                <w:szCs w:val="26"/>
              </w:rPr>
              <w:t xml:space="preserve">“The platform's natural coalition is real. Activating it is the work. These four walkthroughs are a map of that work.”</w:t>
            </w:r>
          </w:p>
        </w:tc>
      </w:tr>
    </w:tbl>
    <w:p>
      <w:pPr>
        <w:spacing w:after="400"/>
      </w:pPr>
      <w:r>
        <w:t xml:space="preserve"/>
      </w:r>
    </w:p>
    <w:p>
      <w:pPr>
        <w:spacing w:after="100"/>
        <w:jc w:val="center"/>
      </w:pPr>
      <w:r>
        <w:rPr>
          <w:rFonts w:ascii="Georgia" w:cs="Georgia" w:eastAsia="Georgia" w:hAnsi="Georgia"/>
          <w:b/>
          <w:bCs/>
          <w:color w:val="1A1A1A"/>
          <w:sz w:val="24"/>
          <w:szCs w:val="24"/>
        </w:rPr>
        <w:t xml:space="preserve">Jason Robertson</w:t>
      </w:r>
    </w:p>
    <w:p>
      <w:pPr>
        <w:pStyle w:val="Heading1"/>
        <w:spacing w:after="240" w:before="480"/>
      </w:pPr>
      <w:r>
        <w:rPr>
          <w:rFonts w:ascii="Arial" w:cs="Arial" w:eastAsia="Arial" w:hAnsi="Arial"/>
          <w:b/>
          <w:bCs/>
          <w:color w:val="1F4E78"/>
          <w:sz w:val="36"/>
          <w:szCs w:val="36"/>
        </w:rPr>
        <w:t>Political-Economy Coalitional Logic</w:t>
      </w:r>
    </w:p>
    <w:p>
      <w:pPr>
        <w:spacing w:after="240" w:line="340"/>
        <w:jc w:val="both"/>
      </w:pPr>
      <w:r>
        <w:rPr>
          <w:rFonts w:ascii="Georgia" w:cs="Georgia" w:eastAsia="Georgia" w:hAnsi="Georgia"/>
          <w:color w:val="1A1A1A"/>
          <w:sz w:val="24"/>
          <w:szCs w:val="24"/>
        </w:rPr>
        <w:t>This section addresses a coalition-walkthrough-narrative finding from the v3.1.0 policy-professional persona simulation. The preceding sections of this document have addressed coalition demographics and platform impact on each demographic group (informational treatment). The political-economy literature on coalitional politics asks different questions: which interests would gain or lose; how the coalition would form and hold; what veto points the platform should expect; and what coalition-design choices the platform implicitly makes. This section addresses those questions explicitly.</w:t>
      </w:r>
    </w:p>
    <w:p>
      <w:pPr>
        <w:pStyle w:val="Heading2"/>
        <w:spacing w:after="160" w:before="360"/>
      </w:pPr>
      <w:r>
        <w:rPr>
          <w:rFonts w:ascii="Arial" w:cs="Arial" w:eastAsia="Arial" w:hAnsi="Arial"/>
          <w:b/>
          <w:bCs/>
          <w:color w:val="1F4E78"/>
          <w:sz w:val="28"/>
          <w:szCs w:val="28"/>
        </w:rPr>
        <w:t>Interests that would gain</w:t>
      </w:r>
    </w:p>
    <w:p>
      <w:pPr>
        <w:spacing w:after="240" w:line="340"/>
        <w:jc w:val="both"/>
      </w:pPr>
      <w:r>
        <w:rPr>
          <w:rFonts w:ascii="Georgia" w:cs="Georgia" w:eastAsia="Georgia" w:hAnsi="Georgia"/>
          <w:color w:val="1A1A1A"/>
          <w:sz w:val="24"/>
          <w:szCs w:val="24"/>
        </w:rPr>
        <w:t>The platform's largest beneficiaries by gross financial impact are lower- and middle-income households (through wage-floor exemptions, universal healthcare reducing private healthcare costs, and Sovereign Fund retirement accumulation). Median-wage households with children also gain significantly (through universal childcare and per-child contributions to the Sovereign Fund). Workers in currently-uncovered occupations (gig workers, self-employed in low-margin businesses) gain access to portable benefit infrastructure they currently lack. Smaller businesses gain stability from predictable infrastructure costs (Federal Infrastructure Fee (FIF) replaces less-predictable telecom-tax patchwork). These are the coalition's natural constituencies; their support is necessary but not sufficient for the coalition to form.</w:t>
      </w:r>
    </w:p>
    <w:p>
      <w:pPr>
        <w:pStyle w:val="Heading2"/>
        <w:spacing w:after="160" w:before="360"/>
      </w:pPr>
      <w:r>
        <w:rPr>
          <w:rFonts w:ascii="Arial" w:cs="Arial" w:eastAsia="Arial" w:hAnsi="Arial"/>
          <w:b/>
          <w:bCs/>
          <w:color w:val="1F4E78"/>
          <w:sz w:val="28"/>
          <w:szCs w:val="28"/>
        </w:rPr>
        <w:t>Interests that would lose or pay more</w:t>
      </w:r>
    </w:p>
    <w:p>
      <w:pPr>
        <w:spacing w:after="240" w:line="340"/>
        <w:jc w:val="both"/>
      </w:pPr>
      <w:r>
        <w:rPr>
          <w:rFonts w:ascii="Georgia" w:cs="Georgia" w:eastAsia="Georgia" w:hAnsi="Georgia"/>
          <w:color w:val="1A1A1A"/>
          <w:sz w:val="24"/>
          <w:szCs w:val="24"/>
        </w:rPr>
        <w:t>The platform's largest losers by gross financial impact are: (1) high-income households (through the wealth-surcharge architecture, though the surcharge is bounded and progressive); (2) certain industries that benefit from current arrangements the platform would replace (private health insurance carriers; the multi-jurisdiction telecom-tax compliance industry; the for-profit private-equity ecosystem around long-term care that PACE programs would partially replace); (3) high-cost-of-living concentrations where the platform's wage-floor architecture provides smaller relative benefit because BLS national percentiles are below local market rates. None of these losses approach the magnitude of platform gains for lower-income households, but the losses are concentrated and the gains are diffuse, which produces the classic public-choice asymmetry where concentrated losers organize more readily than diffuse winners.</w:t>
      </w:r>
    </w:p>
    <w:p>
      <w:pPr>
        <w:pStyle w:val="Heading2"/>
        <w:spacing w:after="160" w:before="360"/>
      </w:pPr>
      <w:r>
        <w:rPr>
          <w:rFonts w:ascii="Arial" w:cs="Arial" w:eastAsia="Arial" w:hAnsi="Arial"/>
          <w:b/>
          <w:bCs/>
          <w:color w:val="1F4E78"/>
          <w:sz w:val="28"/>
          <w:szCs w:val="28"/>
        </w:rPr>
        <w:t>Coalition formation and durability</w:t>
      </w:r>
    </w:p>
    <w:p>
      <w:pPr>
        <w:spacing w:after="240" w:line="340"/>
        <w:jc w:val="both"/>
      </w:pPr>
      <w:r>
        <w:rPr>
          <w:rFonts w:ascii="Georgia" w:cs="Georgia" w:eastAsia="Georgia" w:hAnsi="Georgia"/>
          <w:color w:val="1A1A1A"/>
          <w:sz w:val="24"/>
          <w:szCs w:val="24"/>
        </w:rPr>
        <w:t>The platform's coalition would form through alignment of three constituencies: working-class households organizing around wage-floor and healthcare benefits; middle-class households organizing around childcare and retirement security; and small businesses organizing around predictable infrastructure costs and reduced healthcare-administration burden. The coalition's durability depends on whether platform benefits are concrete and durable enough to sustain support against organized opposition from concentrated losers. The Sovereign Fund's compounding-accumulation logic is structurally durability-favorable: as fund balances grow, dividend distributions become a stronger constituent loyalty mechanism, similar to the political durability of Social Security. The wage-floor architecture is similarly durable: once households have adjusted to the federal-tax-structure changes, reverting them would require active legislation that the coalition can resist.</w:t>
      </w:r>
    </w:p>
    <w:p>
      <w:pPr>
        <w:pStyle w:val="Heading2"/>
        <w:spacing w:after="160" w:before="360"/>
      </w:pPr>
      <w:r>
        <w:rPr>
          <w:rFonts w:ascii="Arial" w:cs="Arial" w:eastAsia="Arial" w:hAnsi="Arial"/>
          <w:b/>
          <w:bCs/>
          <w:color w:val="1F4E78"/>
          <w:sz w:val="28"/>
          <w:szCs w:val="28"/>
        </w:rPr>
        <w:t>Veto points and constitutional structure</w:t>
      </w:r>
    </w:p>
    <w:p>
      <w:pPr>
        <w:spacing w:after="240" w:line="340"/>
        <w:jc w:val="both"/>
      </w:pPr>
      <w:r>
        <w:rPr>
          <w:rFonts w:ascii="Georgia" w:cs="Georgia" w:eastAsia="Georgia" w:hAnsi="Georgia"/>
          <w:color w:val="1A1A1A"/>
          <w:sz w:val="24"/>
          <w:szCs w:val="24"/>
        </w:rPr>
        <w:t>The platform faces multiple veto points in its enactment path: House of Representatives (party-line dynamics, plus the Hastert Rule's effect on bringing legislation to floor); Senate (filibuster, plus committee-chair gatekeeping; reconciliation procedures may apply for fiscally-relevant components but not for the full package); Presidential signature; Supreme Court review of constitutional challenges (the wealth-surcharge architecture in particular faces direct-tax-clause questions documented in OIR (Open Issues Registry); the wage-floor tax-exemption architecture is on stronger constitutional ground but novel). The platform's enactment path is therefore not realistic as a single legislative event but as a sequenced reform program: components that face the lowest constitutional and procedural friction (FIF replacing USF; wage-floor exemption; childcare contributions) move first; components that face higher friction (wealth surcharge; full Sovereign Fund architecture) follow as the political coalition consolidates.</w:t>
      </w:r>
    </w:p>
    <w:p>
      <w:pPr>
        <w:pStyle w:val="Heading2"/>
        <w:spacing w:after="160" w:before="360"/>
      </w:pPr>
      <w:r>
        <w:rPr>
          <w:rFonts w:ascii="Arial" w:cs="Arial" w:eastAsia="Arial" w:hAnsi="Arial"/>
          <w:b/>
          <w:bCs/>
          <w:color w:val="1F4E78"/>
          <w:sz w:val="28"/>
          <w:szCs w:val="28"/>
        </w:rPr>
        <w:t>What the platform's coalition design implicitly assumes</w:t>
      </w:r>
    </w:p>
    <w:p>
      <w:pPr>
        <w:spacing w:after="240" w:line="340"/>
        <w:jc w:val="both"/>
      </w:pPr>
      <w:r>
        <w:rPr>
          <w:rFonts w:ascii="Georgia" w:cs="Georgia" w:eastAsia="Georgia" w:hAnsi="Georgia"/>
          <w:color w:val="1A1A1A"/>
          <w:sz w:val="24"/>
          <w:szCs w:val="24"/>
        </w:rPr>
        <w:t>The platform's coalition design implicitly assumes: (1) middle-class households will accept paying the universal-healthcare and universal-childcare contribution rates because the offsetting elimination of private-payment costs makes them net better off (documented in Does This Raise Taxes); (2) high-income households with progressive policy preferences will accept the wealth-surcharge architecture as a fair contribution to public-goods production (a non-trivial assumption; some progressive high-income households may oppose the architecture on principles unrelated to their personal financial impact); (3) labor-market disruption from wage-floor architecture will be modest (RESEARCH-3 in OIR is explicitly the gap that external labor-economics expertise would fill on this question). The assumptions are reasonable but not uncontested; the platform's response to contested assumptions is the OIR tracking discipline, which surfaces the assumptions for external review rather than burying them.</w:t>
      </w:r>
    </w:p>
    <w:p>
      <w:pPr>
        <w:jc w:val="center"/>
      </w:pPr>
      <w:r>
        <w:rPr>
          <w:rFonts w:ascii="Georgia" w:cs="Georgia" w:eastAsia="Georgia" w:hAnsi="Georgia"/>
          <w:i/>
          <w:iCs/>
          <w:color w:val="595959"/>
          <w:sz w:val="22"/>
          <w:szCs w:val="22"/>
        </w:rPr>
        <w:t xml:space="preserve">Ohio, May 5, 2026</w:t>
      </w:r>
    </w:p>
    <w:sectPr>
      <w:headerReference w:type="default" r:id="rId7"/>
      <w:footerReference w:type="default" r:id="rId8"/>
      <w:pgSz w:w="12240" w:h="15840" w:orient="portrait"/>
      <w:pgMar w:top="1620" w:right="1440" w:bottom="162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
    <w:tblPr>
      <w:tblW w:type="dxa" w:w="9000"/>
      <w:tblBorders>
        <w:top w:val="none"/>
        <w:left w:val="none"/>
        <w:bottom w:val="none"/>
        <w:right w:val="none"/>
        <w:insideH w:val="none"/>
        <w:insideV w:val="none"/>
      </w:tblBorders>
    </w:tblPr>
    <w:tblGrid>
      <w:gridCol w:w="3000"/>
      <w:gridCol w:w="3000"/>
      <w:gridCol w:w="3000"/>
    </w:tblGrid>
    <w:tr>
      <w:tc>
        <w:tcPr>
          <w:tcW w:type="dxa" w:w="3000"/>
          <w:tcBorders>
            <w:top w:val="none"/>
            <w:left w:val="none"/>
            <w:bottom w:val="none"/>
            <w:right w:val="none"/>
          </w:tcBorders>
        </w:tcPr>
        <w:p>
          <w:pPr>
            <w:jc w:val="left"/>
          </w:pPr>
          <w:r>
            <w:rPr>
              <w:rFonts w:ascii="Arial" w:cs="Arial" w:eastAsia="Arial" w:hAnsi="Arial"/>
              <w:color w:val="595959"/>
              <w:sz w:val="16"/>
              <w:szCs w:val="16"/>
            </w:rPr>
            <w:t xml:space="preserve">Coalition Walkthrough · v1.0</w:t>
          </w:r>
        </w:p>
      </w:tc>
      <w:tc>
        <w:tcPr>
          <w:tcW w:type="dxa" w:w="3000"/>
          <w:tcBorders>
            <w:top w:val="none"/>
            <w:left w:val="none"/>
            <w:bottom w:val="none"/>
            <w:right w:val="none"/>
          </w:tcBorders>
        </w:tcPr>
        <w:p>
          <w:pPr>
            <w:jc w:val="center"/>
          </w:pPr>
          <w:r>
            <w:rPr>
              <w:rFonts w:ascii="Arial" w:cs="Arial" w:eastAsia="Arial" w:hAnsi="Arial"/>
              <w:color w:val="595959"/>
              <w:sz w:val="16"/>
              <w:szCs w:val="16"/>
            </w:rPr>
            <w:t xml:space="preserve">Page </w:t>
          </w:r>
          <w:r>
            <w:rPr>
              <w:rFonts w:ascii="Arial" w:cs="Arial" w:eastAsia="Arial" w:hAnsi="Arial"/>
              <w:color w:val="595959"/>
              <w:sz w:val="16"/>
              <w:szCs w:val="16"/>
            </w:rPr>
            <w:fldChar w:fldCharType="begin"/>
            <w:instrText xml:space="preserve">PAGE</w:instrText>
            <w:fldChar w:fldCharType="separate"/>
            <w:fldChar w:fldCharType="end"/>
          </w:r>
        </w:p>
      </w:tc>
      <w:tc>
        <w:tcPr>
          <w:tcW w:type="dxa" w:w="3000"/>
          <w:tcBorders>
            <w:top w:val="none"/>
            <w:left w:val="none"/>
            <w:bottom w:val="none"/>
            <w:right w:val="none"/>
          </w:tcBorders>
        </w:tcPr>
        <w:p>
          <w:pPr>
            <w:jc w:val="right"/>
          </w:pPr>
          <w:r>
            <w:rPr>
              <w:rFonts w:ascii="Arial" w:cs="Arial" w:eastAsia="Arial" w:hAnsi="Arial"/>
              <w:color w:val="595959"/>
              <w:sz w:val="16"/>
              <w:szCs w:val="16"/>
            </w:rPr>
            <w:t xml:space="preserve">Updated May 5, 2026</w:t>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F4E78" w:sz="4" w:space="4"/>
      </w:pBdr>
      <w:jc w:val="right"/>
    </w:pPr>
    <w:r>
      <w:rPr>
        <w:rFonts w:ascii="Arial" w:cs="Arial" w:eastAsia="Arial" w:hAnsi="Arial"/>
        <w:i/>
        <w:iCs/>
        <w:color w:val="595959"/>
        <w:sz w:val="18"/>
        <w:szCs w:val="18"/>
      </w:rPr>
      <w:t xml:space="preserve">Coalition Walkthrough: Four Scenarios in Depth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Coalition Walkthrough: Four Scenarios in Depth</dc:title>
  <dc:creator>Jason Robertson</dc:creator>
  <cp:lastModifiedBy>Un-named</cp:lastModifiedBy>
  <cp:revision>1</cp:revision>
  <dcterms:created xsi:type="dcterms:W3CDTF">2026-05-05T14:04:17.781Z</dcterms:created>
  <dcterms:modified xsi:type="dcterms:W3CDTF">2026-05-05T14:04:17.797Z</dcterms:modified>
</cp:coreProperties>
</file>

<file path=docProps/custom.xml><?xml version="1.0" encoding="utf-8"?>
<Properties xmlns="http://schemas.openxmlformats.org/officeDocument/2006/custom-properties" xmlns:vt="http://schemas.openxmlformats.org/officeDocument/2006/docPropsVTypes"/>
</file>