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before="2400"/>
      </w:pPr>
      <w:r>
        <w:t xml:space="preserve"/>
      </w:r>
    </w:p>
    <w:p>
      <w:pPr>
        <w:spacing w:after="100"/>
        <w:jc w:val="center"/>
      </w:pPr>
      <w:r>
        <w:rPr>
          <w:rFonts w:ascii="Arial" w:cs="Arial" w:eastAsia="Arial" w:hAnsi="Arial"/>
          <w:b/>
          <w:bCs/>
          <w:color w:val="1F4E78"/>
          <w:sz w:val="46"/>
          <w:szCs w:val="46"/>
        </w:rPr>
        <w:t>CLIMATE POLICY</w:t>
      </w:r>
    </w:p>
    <w:p>
      <w:pPr>
        <w:spacing w:after="200"/>
        <w:jc w:val="center"/>
      </w:pPr>
      <w:r>
        <w:rPr>
          <w:rFonts w:ascii="Arial" w:cs="Arial" w:eastAsia="Arial" w:hAnsi="Arial"/>
          <w:b/>
          <w:bCs/>
          <w:color w:val="1F4E78"/>
          <w:sz w:val="46"/>
          <w:szCs w:val="46"/>
        </w:rPr>
        <w:t>BEYOND GRID MODERNIZATION</w:t>
      </w:r>
    </w:p>
    <w:p>
      <w:pPr>
        <w:spacing w:after="200"/>
        <w:jc w:val="center"/>
      </w:pPr>
      <w:r>
        <w:rPr>
          <w:rFonts w:ascii="Arial" w:cs="Arial" w:eastAsia="Arial" w:hAnsi="Arial"/>
          <w:i/>
          <w:iCs/>
          <w:color w:val="C00000"/>
          <w:sz w:val="28"/>
          <w:szCs w:val="28"/>
        </w:rPr>
        <w:t>What the Platform Addresses, What It Omits, and What Future Versions Could Add</w:t>
      </w:r>
    </w:p>
    <w:p>
      <w:pPr>
        <w:pBdr>
          <w:bottom w:val="single" w:color="1F4E78" w:sz="18"/>
        </w:pBdr>
        <w:spacing w:after="600"/>
        <w:jc w:val="center"/>
      </w:pPr>
      <w:r>
        <w:t xml:space="preserve"/>
      </w:r>
    </w:p>
    <w:p>
      <w:pPr>
        <w:spacing w:after="200"/>
        <w:jc w:val="center"/>
      </w:pPr>
      <w:r>
        <w:rPr>
          <w:rFonts w:ascii="Georgia" w:cs="Georgia" w:eastAsia="Georgia" w:hAnsi="Georgia"/>
          <w:i/>
          <w:iCs/>
          <w:color w:val="1A1A1A"/>
          <w:sz w:val="24"/>
          <w:szCs w:val="24"/>
        </w:rPr>
        <w:t>What climate policy does the platform's Civic Infrastructure pillar already address?</w:t>
      </w:r>
    </w:p>
    <w:p>
      <w:pPr>
        <w:spacing w:after="200"/>
        <w:jc w:val="center"/>
      </w:pPr>
      <w:r>
        <w:rPr>
          <w:rFonts w:ascii="Georgia" w:cs="Georgia" w:eastAsia="Georgia" w:hAnsi="Georgia"/>
          <w:i/>
          <w:iCs/>
          <w:color w:val="1A1A1A"/>
          <w:sz w:val="24"/>
          <w:szCs w:val="24"/>
        </w:rPr>
        <w:t>What does the platform deliberately omit from climate policy?</w:t>
      </w:r>
    </w:p>
    <w:p>
      <w:pPr>
        <w:spacing w:after="1200"/>
        <w:jc w:val="center"/>
      </w:pPr>
      <w:r>
        <w:rPr>
          <w:rFonts w:ascii="Georgia" w:cs="Georgia" w:eastAsia="Georgia" w:hAnsi="Georgia"/>
          <w:i/>
          <w:iCs/>
          <w:color w:val="1A1A1A"/>
          <w:sz w:val="24"/>
          <w:szCs w:val="24"/>
        </w:rPr>
        <w:t>How could future platform versions integrate carbon pricing, environmental justice, and climate adaptation?</w:t>
      </w:r>
    </w:p>
    <w:p>
      <w:pPr>
        <w:spacing w:before="1200"/>
      </w:pPr>
      <w:r>
        <w:t xml:space="preserve"/>
      </w:r>
    </w:p>
    <w:p>
      <w:pPr>
        <w:spacing w:after="80"/>
        <w:jc w:val="center"/>
      </w:pPr>
      <w:r>
        <w:rPr>
          <w:rFonts w:ascii="Georgia" w:cs="Georgia" w:eastAsia="Georgia" w:hAnsi="Georgia"/>
          <w:i/>
          <w:iCs/>
          <w:color w:val="595959"/>
          <w:sz w:val="22"/>
          <w:szCs w:val="22"/>
        </w:rPr>
        <w:t xml:space="preserve">An Analytical Framing Document</w:t>
      </w:r>
    </w:p>
    <w:p>
      <w:pPr>
        <w:spacing w:after="80"/>
        <w:jc w:val="center"/>
      </w:pPr>
      <w:r>
        <w:rPr>
          <w:rFonts w:ascii="Georgia" w:cs="Georgia" w:eastAsia="Georgia" w:hAnsi="Georgia"/>
          <w:b/>
          <w:bCs/>
          <w:color w:val="1A1A1A"/>
          <w:sz w:val="24"/>
          <w:szCs w:val="24"/>
        </w:rPr>
        <w:t xml:space="preserve">Jason Robertson</w:t>
      </w:r>
    </w:p>
    <w:p>
      <w:pPr>
        <w:spacing w:before="480"/>
        <w:jc w:val="center"/>
      </w:pPr>
      <w:r>
        <w:rPr>
          <w:rFonts w:ascii="Arial" w:cs="Arial" w:eastAsia="Arial" w:hAnsi="Arial"/>
          <w:i/>
          <w:iCs/>
          <w:color w:val="595959"/>
          <w:sz w:val="16"/>
          <w:szCs w:val="16"/>
        </w:rPr>
        <w:t>v1.2  ·  Created May 5, 2026 for v2.18  ·  Updated May 6, 2026 for v2.19.1 (heading normalization)  ·  Updated May 6, 2026 for v2.30.28 (Strategic Reasoning for the Climate Omission section added; addresses OIR (Open Issues Registry) RESEARCH-7)</w:t>
      </w:r>
    </w:p>
    <w:p>
      <w:pPr>
        <w:jc w:val="center"/>
      </w:pPr>
      <w:r>
        <w:rPr>
          <w:rFonts w:ascii="Georgia" w:cs="Georgia" w:eastAsia="Georgia" w:hAnsi="Georgia"/>
          <w:color w:val="595959"/>
          <w:sz w:val="20"/>
          <w:szCs w:val="20"/>
        </w:rPr>
        <w:t xml:space="preserve">Ohio  ·  2026</w:t>
      </w:r>
    </w:p>
    <w:p>
      <w:pPr>
        <w:pStyle w:val="Heading1"/>
      </w:pPr>
      <w:r>
        <w:t>The Question This Document Addresses</w:t>
      </w:r>
    </w:p>
    <w:p>
      <w:pPr>
        <w:spacing w:after="240" w:before="480"/>
      </w:pPr>
      <w:r>
        <w:rPr>
          <w:rFonts w:ascii="Arial" w:cs="Arial" w:eastAsia="Arial" w:hAnsi="Arial"/>
          <w:b/>
          <w:bCs/>
          <w:color w:val="1F4E78"/>
          <w:sz w:val="36"/>
          <w:szCs w:val="36"/>
        </w:rPr>
        <w:t>The platform's Civic Infrastructure pillar includes Energy Grid Modernization as one of its components, addressing the transmission and distribution infrastructure needed to integrate renewable energy generation, electrify transportation, and provide reliable power as climate change increases extreme weather frequency. The Civic Infrastructure pillar's broader investments in physical infrastructure (broadband, water and sanitation, transportation) include substantial climate adaptation overlap. But the platform does not address broader climate policy: carbon pricing, fossil fuel subsidy reform, environmental justice, agricultural emissions, building codes and energy efficiency standards, and many other policy areas that constitute the full climate policy debate. This omission is deliberate — the platform's central commitments are large enough that adding comprehensive climate policy would have made the platform's scope unmanageable — but it is also a real limitation that warrants explicit acknowledgment.</w:t>
      </w:r>
    </w:p>
    <w:p>
      <w:pPr>
        <w:spacing w:after="240" w:line="340"/>
        <w:jc w:val="both"/>
      </w:pPr>
      <w:r>
        <w:rPr>
          <w:rFonts w:ascii="Georgia" w:cs="Georgia" w:eastAsia="Georgia" w:hAnsi="Georgia"/>
          <w:color w:val="1A1A1A"/>
          <w:sz w:val="24"/>
          <w:szCs w:val="24"/>
        </w:rPr>
        <w:t>This document examines what the platform does and does not address in climate policy, identifies the key climate policy areas the platform omits, analyzes how the platform's existing commitments interact with the broader climate policy framework (the Inflation Reduction Act of 2022, the Bipartisan Infrastructure Law, EPA (Environmental Protection Agency) regulatory authority, state-level climate policies), and outlines design directions for future platform versions to integrate climate policy more substantively. As with prior phased-expansion documents, the analysis is framework-level rather than detailed policy specification; specific carbon pricing design, environmental justice implementation, and agricultural emissions policy each require substantial expert analysis beyond this document's scope.</w:t>
      </w:r>
    </w:p>
    <w:p>
      <w:pPr>
        <w:spacing w:after="240" w:before="480"/>
      </w:pPr>
      <w:r>
        <w:rPr>
          <w:rFonts w:ascii="Arial" w:cs="Arial" w:eastAsia="Arial" w:hAnsi="Arial"/>
          <w:b/>
          <w:bCs/>
          <w:color w:val="1F4E78"/>
          <w:sz w:val="36"/>
          <w:szCs w:val="36"/>
        </w:rPr>
        <w:t>This document is most appropriately read as honest acknowledgment of platform scope limits rather than as climate policy advocacy. The platform's silence on most climate policy is a scope choice, not a policy disagreement; future platform versions could reasonably integrate climate policy without contradicting any current platform commitment. The document's purpose is to make this scope choice visible and to identify where future expansion could occur.</w:t>
      </w:r>
    </w:p>
    <w:p>
      <w:pPr>
        <w:pStyle w:val="Heading1"/>
        <w:spacing w:after="240" w:line="340"/>
        <w:jc w:val="both"/>
      </w:pPr>
      <w:r>
        <w:rPr>
          <w:rFonts w:ascii="Georgia" w:cs="Georgia" w:eastAsia="Georgia" w:hAnsi="Georgia"/>
          <w:color w:val="1A1A1A"/>
          <w:sz w:val="24"/>
          <w:szCs w:val="24"/>
        </w:rPr>
        <w:t>What the Platform Addresses in Climate Policy</w:t>
      </w:r>
    </w:p>
    <w:p>
      <w:pPr>
        <w:pStyle w:val="Heading1"/>
        <w:spacing w:after="240" w:line="340"/>
        <w:jc w:val="both"/>
      </w:pPr>
      <w:r>
        <w:rPr>
          <w:rFonts w:ascii="Georgia" w:cs="Georgia" w:eastAsia="Georgia" w:hAnsi="Georgia"/>
          <w:color w:val="1A1A1A"/>
          <w:sz w:val="24"/>
          <w:szCs w:val="24"/>
        </w:rPr>
        <w:t>Energy Grid Modernization</w:t>
      </w:r>
    </w:p>
    <w:p>
      <w:pPr>
        <w:spacing w:after="240" w:before="480"/>
      </w:pPr>
      <w:r>
        <w:rPr>
          <w:rFonts w:ascii="Arial" w:cs="Arial" w:eastAsia="Arial" w:hAnsi="Arial"/>
          <w:b/>
          <w:bCs/>
          <w:color w:val="1F4E78"/>
          <w:sz w:val="36"/>
          <w:szCs w:val="36"/>
        </w:rPr>
        <w:t>The platform's Energy Grid Modernization commitment addresses the transmission and distribution infrastructure needed for the energy transition. Specific elements include long-distance high-voltage transmission to move renewable energy from generation regions to load centers, smart grid technology for demand response and integration of distributed generation, storage infrastructure to manage intermittent renewable generation, and reliability investments to manage extreme weather events. Federal investment in grid modernization addresses one of the most binding constraints on broader decarbonization: the existing grid was not designed for substantial renewable generation or for the load patterns of widespread vehicle electrification.</w:t>
      </w:r>
    </w:p>
    <w:p>
      <w:pPr>
        <w:spacing w:after="240" w:line="340"/>
        <w:jc w:val="both"/>
      </w:pPr>
      <w:r>
        <w:rPr>
          <w:rFonts w:ascii="Georgia" w:cs="Georgia" w:eastAsia="Georgia" w:hAnsi="Georgia"/>
          <w:color w:val="1A1A1A"/>
          <w:sz w:val="24"/>
          <w:szCs w:val="24"/>
        </w:rPr>
        <w:t>Grid modernization is fundamentally enabling infrastructure for climate policy rather than direct climate policy itself. A modernized grid does not by itself reduce emissions; it makes possible the integration of renewable generation that does reduce emissions. The platform's commitment to grid modernization is therefore necessary but not sufficient for climate goals. The actual reduction in emissions depends on what generation is built and connected to the modernized grid, which depends on policies the platform does not directly address.</w:t>
      </w:r>
    </w:p>
    <w:p>
      <w:pPr>
        <w:pStyle w:val="Heading1"/>
        <w:spacing w:after="240" w:line="340"/>
        <w:jc w:val="both"/>
      </w:pPr>
      <w:r>
        <w:rPr>
          <w:rFonts w:ascii="Georgia" w:cs="Georgia" w:eastAsia="Georgia" w:hAnsi="Georgia"/>
          <w:color w:val="1A1A1A"/>
          <w:sz w:val="24"/>
          <w:szCs w:val="24"/>
        </w:rPr>
        <w:t>Civic Infrastructure with Climate Adaptation Overlap</w:t>
      </w:r>
    </w:p>
    <w:p>
      <w:pPr>
        <w:spacing w:after="240" w:line="340"/>
        <w:jc w:val="both"/>
      </w:pPr>
      <w:r>
        <w:rPr>
          <w:rFonts w:ascii="Georgia" w:cs="Georgia" w:eastAsia="Georgia" w:hAnsi="Georgia"/>
          <w:color w:val="1A1A1A"/>
          <w:sz w:val="24"/>
          <w:szCs w:val="24"/>
        </w:rPr>
        <w:t>Several other Civic Infrastructure pillar components have substantial climate adaptation overlap. Water and sanitation infrastructure investment addresses both basic public health needs and climate adaptation needs (water systems must handle increased extreme precipitation, drought, sea level rise, and contamination from severe weather). Transportation infrastructure investment addresses both economic mobility and adaptation needs (roads, bridges, rail, and transit must withstand more extreme weather). Broadband infrastructure indirectly supports climate adaptation through enabling remote work (reducing commuting emissions), telehealth (reducing healthcare-related travel), and virtual social connection (reducing isolation during extreme weather events that limit physical mobility).</w:t>
      </w:r>
    </w:p>
    <w:p>
      <w:pPr>
        <w:spacing w:after="240" w:line="340"/>
        <w:jc w:val="both"/>
      </w:pPr>
      <w:r>
        <w:rPr>
          <w:rFonts w:ascii="Georgia" w:cs="Georgia" w:eastAsia="Georgia" w:hAnsi="Georgia"/>
          <w:color w:val="1A1A1A"/>
          <w:sz w:val="24"/>
          <w:szCs w:val="24"/>
        </w:rPr>
        <w:t>The platform's substantial Civic Infrastructure investment therefore has climate co-benefits even though it is not framed primarily as climate policy. Estimates of the climate adaptation value of the platform's Civic Infrastructure investment are not currently part of the platform's analytical framework but could be developed.</w:t>
      </w:r>
    </w:p>
    <w:p>
      <w:pPr>
        <w:pStyle w:val="Heading1"/>
        <w:spacing w:after="240" w:before="480"/>
      </w:pPr>
      <w:r>
        <w:rPr>
          <w:rFonts w:ascii="Arial" w:cs="Arial" w:eastAsia="Arial" w:hAnsi="Arial"/>
          <w:b/>
          <w:bCs/>
          <w:color w:val="1F4E78"/>
          <w:sz w:val="36"/>
          <w:szCs w:val="36"/>
        </w:rPr>
        <w:t>Sovereign Fund Investment Strategy</w:t>
      </w:r>
    </w:p>
    <w:p>
      <w:pPr>
        <w:spacing w:after="240" w:line="340"/>
        <w:jc w:val="both"/>
      </w:pPr>
      <w:r>
        <w:rPr>
          <w:rFonts w:ascii="Georgia" w:cs="Georgia" w:eastAsia="Georgia" w:hAnsi="Georgia"/>
          <w:color w:val="1A1A1A"/>
          <w:sz w:val="24"/>
          <w:szCs w:val="24"/>
        </w:rPr>
        <w:t>The Sovereign Fund's investment strategy interacts with climate policy through investment choices. Sovereign Fund corpus investment in fossil fuel companies, renewable energy companies, climate adaptation companies, and other climate-relevant sectors affects the Fund's climate exposure. Many sovereign wealth funds (Norway's Government Pension Fund Global, the New Zealand Superannuation Fund, several US state pension funds) have implemented climate-related investment policies including fossil fuel divestment, climate-related disclosure requirements for portfolio companies, and ESG (environmental, social, governance) integration. The platform does not currently specify a Sovereign Fund climate investment policy.</w:t>
      </w:r>
    </w:p>
    <w:p>
      <w:pPr>
        <w:spacing w:after="240" w:line="340"/>
        <w:jc w:val="both"/>
      </w:pPr>
      <w:r>
        <w:rPr>
          <w:rFonts w:ascii="Georgia" w:cs="Georgia" w:eastAsia="Georgia" w:hAnsi="Georgia"/>
          <w:color w:val="1A1A1A"/>
          <w:sz w:val="24"/>
          <w:szCs w:val="24"/>
        </w:rPr>
        <w:t>Sovereign Fund climate investment policy is a real design question. A Sovereign Fund that invests substantially in fossil fuel companies has financial exposure to the climate transition (stranded asset risk); the Fund may also be perceived as undermining climate policy by funding the activities the policy is intended to discourage. Conversely, broad fossil fuel divestment may reduce Sovereign Fund returns relative to broader market exposure during the transition period. The trade-off requires explicit consideration that the platform has not yet provided.</w:t>
      </w:r>
    </w:p>
    <w:p>
      <w:pPr>
        <w:pStyle w:val="Heading1"/>
        <w:spacing w:after="240" w:line="340"/>
        <w:jc w:val="both"/>
      </w:pPr>
      <w:r>
        <w:rPr>
          <w:rFonts w:ascii="Georgia" w:cs="Georgia" w:eastAsia="Georgia" w:hAnsi="Georgia"/>
          <w:color w:val="1A1A1A"/>
          <w:sz w:val="24"/>
          <w:szCs w:val="24"/>
        </w:rPr>
        <w:t>What the Platform Omits from Climate Policy</w:t>
      </w:r>
    </w:p>
    <w:p>
      <w:pPr>
        <w:pStyle w:val="Heading1"/>
        <w:spacing w:after="240" w:before="480"/>
      </w:pPr>
      <w:r>
        <w:rPr>
          <w:rFonts w:ascii="Arial" w:cs="Arial" w:eastAsia="Arial" w:hAnsi="Arial"/>
          <w:b/>
          <w:bCs/>
          <w:color w:val="1F4E78"/>
          <w:sz w:val="36"/>
          <w:szCs w:val="36"/>
        </w:rPr>
        <w:t>Carbon Pricing</w:t>
      </w:r>
    </w:p>
    <w:p>
      <w:pPr>
        <w:spacing w:after="240" w:line="340"/>
        <w:jc w:val="both"/>
      </w:pPr>
      <w:r>
        <w:rPr>
          <w:rFonts w:ascii="Georgia" w:cs="Georgia" w:eastAsia="Georgia" w:hAnsi="Georgia"/>
          <w:color w:val="1A1A1A"/>
          <w:sz w:val="24"/>
          <w:szCs w:val="24"/>
        </w:rPr>
        <w:t>Carbon pricing is the most-discussed climate policy mechanism in policy debate but is not part of the platform's commitments. Two primary carbon pricing approaches exist: carbon taxes (a per-ton fee on emissions, generally applied at the producer or import level) and cap-and-trade systems (a market-determined price emerging from tradable emission permits with a declining cap). Both approaches are intended to internalize the externality cost of emissions, making lower-emission alternatives more economically competitive.</w:t>
      </w:r>
    </w:p>
    <w:p>
      <w:pPr>
        <w:spacing w:after="240" w:line="340"/>
        <w:jc w:val="both"/>
      </w:pPr>
      <w:r>
        <w:rPr>
          <w:rFonts w:ascii="Georgia" w:cs="Georgia" w:eastAsia="Georgia" w:hAnsi="Georgia"/>
          <w:color w:val="1A1A1A"/>
          <w:sz w:val="24"/>
          <w:szCs w:val="24"/>
        </w:rPr>
        <w:t>Carbon pricing has substantial policy support among economists across the political spectrum and has been implemented in many jurisdictions worldwide (the European Union's Emissions Trading System, Canada's federal carbon backstop, California's cap-and-trade program, the Regional Greenhouse Gas Initiative for power sector emissions in the Northeast US, and many others). At the US federal level, carbon pricing has been proposed many times (the Climate Leadership Council's Carbon Dividends Plan, the Energy Innovation and Carbon Dividend Act, the American Opportunity Carbon Fee Act, and others) but has not been enacted. The political coalition for federal carbon pricing has been difficult to assemble despite the policy's economic merit.</w:t>
      </w:r>
    </w:p>
    <w:p>
      <w:pPr>
        <w:spacing w:after="240" w:before="480"/>
      </w:pPr>
      <w:r>
        <w:rPr>
          <w:rFonts w:ascii="Arial" w:cs="Arial" w:eastAsia="Arial" w:hAnsi="Arial"/>
          <w:b/>
          <w:bCs/>
          <w:color w:val="1F4E78"/>
          <w:sz w:val="36"/>
          <w:szCs w:val="36"/>
        </w:rPr>
        <w:t>The platform does not commit to carbon pricing. Adding it would substantially change the platform's character: carbon pricing affects almost every economic transaction (everything that has embedded fossil fuel content has its price affected) and produces revenue that must be allocated. Most carbon pricing proposals include either revenue-neutral redistribution (carbon dividends similar to the Founding Stake but larger) or revenue use for climate-related investment. Either approach would be a major addition to the platform's existing commitments.</w:t>
      </w:r>
    </w:p>
    <w:p>
      <w:pPr>
        <w:pStyle w:val="Heading1"/>
        <w:spacing w:after="240" w:line="340"/>
        <w:jc w:val="both"/>
      </w:pPr>
      <w:r>
        <w:rPr>
          <w:rFonts w:ascii="Georgia" w:cs="Georgia" w:eastAsia="Georgia" w:hAnsi="Georgia"/>
          <w:color w:val="1A1A1A"/>
          <w:sz w:val="24"/>
          <w:szCs w:val="24"/>
        </w:rPr>
        <w:t>Fossil Fuel Subsidies</w:t>
      </w:r>
    </w:p>
    <w:p>
      <w:pPr>
        <w:spacing w:after="240" w:line="340"/>
        <w:jc w:val="both"/>
      </w:pPr>
      <w:r>
        <w:rPr>
          <w:rFonts w:ascii="Georgia" w:cs="Georgia" w:eastAsia="Georgia" w:hAnsi="Georgia"/>
          <w:color w:val="1A1A1A"/>
          <w:sz w:val="24"/>
          <w:szCs w:val="24"/>
        </w:rPr>
        <w:t>Federal fossil fuel subsidies in the form of tax expenditures (intangible drilling costs deduction, percentage depletion allowance, and several others) and direct subsidies amount to approximately $20 billion per year. These subsidies persist despite proposals to eliminate them spanning multiple administrations of both parties. The Inflation Reduction Act of 2022 made some progress on related provisions but did not eliminate fossil fuel subsidies. The platform does not address fossil fuel subsidy reform.</w:t>
      </w:r>
    </w:p>
    <w:p>
      <w:pPr>
        <w:spacing w:after="240" w:before="480"/>
      </w:pPr>
      <w:r>
        <w:rPr>
          <w:rFonts w:ascii="Arial" w:cs="Arial" w:eastAsia="Arial" w:hAnsi="Arial"/>
          <w:b/>
          <w:bCs/>
          <w:color w:val="1F4E78"/>
          <w:sz w:val="36"/>
          <w:szCs w:val="36"/>
        </w:rPr>
        <w:t>Eliminating fossil fuel subsidies is a relatively small fiscal item but a politically significant climate policy step. The platform's broader fiscal architecture could in principle include fossil fuel subsidy reform without major design changes; the political cost of including this reform is real but not enormous. Future platform versions could reasonably add this commitment.</w:t>
      </w:r>
    </w:p>
    <w:p>
      <w:pPr>
        <w:pStyle w:val="Heading1"/>
        <w:spacing w:after="240" w:line="340"/>
        <w:jc w:val="both"/>
      </w:pPr>
      <w:r>
        <w:rPr>
          <w:rFonts w:ascii="Georgia" w:cs="Georgia" w:eastAsia="Georgia" w:hAnsi="Georgia"/>
          <w:color w:val="1A1A1A"/>
          <w:sz w:val="24"/>
          <w:szCs w:val="24"/>
        </w:rPr>
        <w:t>Environmental Justice</w:t>
      </w:r>
    </w:p>
    <w:p>
      <w:pPr>
        <w:spacing w:after="160" w:before="360"/>
      </w:pPr>
      <w:r>
        <w:rPr>
          <w:rFonts w:ascii="Arial" w:cs="Arial" w:eastAsia="Arial" w:hAnsi="Arial"/>
          <w:b/>
          <w:bCs/>
          <w:color w:val="1F4E78"/>
          <w:sz w:val="28"/>
          <w:szCs w:val="28"/>
        </w:rPr>
        <w:t>Environmental justice addresses the disproportionate environmental burdens (pollution, contamination, climate vulnerability) that low-income communities and communities of color face. Federal environmental justice work has expanded substantially in recent years through the Justice40 Initiative (committing 40 percent of climate-related federal investment to disadvantaged communities), the EPA's Office of Environmental Justice and External Civil Rights, and various other mechanisms. State-level environmental justice initiatives have similarly expanded.</w:t>
      </w:r>
    </w:p>
    <w:p>
      <w:pPr>
        <w:spacing w:after="240" w:line="340"/>
        <w:jc w:val="both"/>
      </w:pPr>
      <w:r>
        <w:rPr>
          <w:rFonts w:ascii="Georgia" w:cs="Georgia" w:eastAsia="Georgia" w:hAnsi="Georgia"/>
          <w:color w:val="1A1A1A"/>
          <w:sz w:val="24"/>
          <w:szCs w:val="24"/>
        </w:rPr>
        <w:t>The platform does not specifically address environmental justice. The Civic Infrastructure pillar's broad investment in physical infrastructure could be designed to include environmental justice considerations (prioritizing investment in historically underserved communities, eliminating pollution sources in vulnerable communities, providing climate adaptation infrastructure to communities most exposed to climate impacts). The federal-state cooperation framework analyzed in v2.14 could include environmental justice criteria in cooperation incentive design. But none of these are currently committed in the platform.</w:t>
      </w:r>
    </w:p>
    <w:p>
      <w:pPr>
        <w:spacing w:after="240" w:line="340"/>
        <w:jc w:val="both"/>
      </w:pPr>
      <w:r>
        <w:rPr>
          <w:rFonts w:ascii="Georgia" w:cs="Georgia" w:eastAsia="Georgia" w:hAnsi="Georgia"/>
          <w:color w:val="1A1A1A"/>
          <w:sz w:val="24"/>
          <w:szCs w:val="24"/>
        </w:rPr>
        <w:t>Environmental justice integration with the platform's existing commitments is a relatively low-cost expansion that could substantially benefit specific communities. Future platform versions could reasonably integrate environmental justice criteria into Civic Infrastructure investment, federal-state cooperation incentives, and other relevant platform mechanisms without requiring major architectural changes.</w:t>
      </w:r>
    </w:p>
    <w:p>
      <w:pPr>
        <w:pStyle w:val="Heading2"/>
        <w:spacing w:after="160" w:before="360"/>
      </w:pPr>
      <w:r>
        <w:rPr>
          <w:rFonts w:ascii="Arial" w:cs="Arial" w:eastAsia="Arial" w:hAnsi="Arial"/>
          <w:b/>
          <w:bCs/>
          <w:color w:val="1F4E78"/>
          <w:sz w:val="28"/>
          <w:szCs w:val="28"/>
        </w:rPr>
        <w:t>Climate Adaptation Infrastructure</w:t>
      </w:r>
    </w:p>
    <w:p>
      <w:pPr>
        <w:spacing w:after="240" w:line="340"/>
        <w:jc w:val="both"/>
      </w:pPr>
      <w:r>
        <w:rPr>
          <w:rFonts w:ascii="Georgia" w:cs="Georgia" w:eastAsia="Georgia" w:hAnsi="Georgia"/>
          <w:color w:val="1A1A1A"/>
          <w:sz w:val="24"/>
          <w:szCs w:val="24"/>
        </w:rPr>
        <w:t>Climate adaptation includes the infrastructure and services needed to manage climate impacts that are already locked in regardless of mitigation success. Sea level rise protection (seawalls, managed retreat), wildfire management (forest thinning, defensible space requirements, rebuilding standards in fire-prone areas), extreme heat response (cooling centers, heat-related public health interventions, building codes for thermal performance), drought management (water supply diversification, agricultural adaptation, urban water conservation), and many other adaptation areas warrant federal attention.</w:t>
      </w:r>
    </w:p>
    <w:p>
      <w:pPr>
        <w:spacing w:after="160" w:before="360"/>
      </w:pPr>
      <w:r>
        <w:rPr>
          <w:rFonts w:ascii="Arial" w:cs="Arial" w:eastAsia="Arial" w:hAnsi="Arial"/>
          <w:b/>
          <w:bCs/>
          <w:color w:val="1F4E78"/>
          <w:sz w:val="28"/>
          <w:szCs w:val="28"/>
        </w:rPr>
        <w:t>The platform's Civic Infrastructure pillar includes substantial climate adaptation overlap as discussed above. But explicit climate adaptation policy (federal funding for sea level rise protection, federal coordination of wildfire management, federal extreme heat response policy) is not specifically committed. Future platform versions could specify climate adaptation as a Civic Infrastructure component or as a separate climate policy element.</w:t>
      </w:r>
    </w:p>
    <w:p>
      <w:pPr>
        <w:pStyle w:val="Heading1"/>
        <w:spacing w:after="240" w:line="340"/>
        <w:jc w:val="both"/>
      </w:pPr>
      <w:r>
        <w:rPr>
          <w:rFonts w:ascii="Georgia" w:cs="Georgia" w:eastAsia="Georgia" w:hAnsi="Georgia"/>
          <w:color w:val="1A1A1A"/>
          <w:sz w:val="24"/>
          <w:szCs w:val="24"/>
        </w:rPr>
        <w:t>Agricultural Emissions</w:t>
      </w:r>
    </w:p>
    <w:p>
      <w:pPr>
        <w:spacing w:after="240" w:before="480"/>
      </w:pPr>
      <w:r>
        <w:rPr>
          <w:rFonts w:ascii="Arial" w:cs="Arial" w:eastAsia="Arial" w:hAnsi="Arial"/>
          <w:b/>
          <w:bCs/>
          <w:color w:val="1F4E78"/>
          <w:sz w:val="36"/>
          <w:szCs w:val="36"/>
        </w:rPr>
        <w:t>Agricultural emissions account for approximately 11 percent of US greenhouse gas emissions. The sector is challenging for climate policy because emissions are diffuse (from many farms rather than concentrated point sources), some emissions are inherent to biological processes (livestock methane), and the industry has substantial political organization. Federal agricultural climate policy currently includes USDA (United States Department of Agriculture) conservation programs (the Conservation Reserve Program, the Environmental Quality Incentives Program, and others), specific Inflation Reduction Act provisions for agricultural climate-smart practices, and limited regulatory authority. The platform does not address agricultural emissions specifically.</w:t>
      </w:r>
    </w:p>
    <w:p>
      <w:pPr>
        <w:spacing w:after="240" w:line="340"/>
        <w:jc w:val="both"/>
      </w:pPr>
      <w:r>
        <w:rPr>
          <w:rFonts w:ascii="Georgia" w:cs="Georgia" w:eastAsia="Georgia" w:hAnsi="Georgia"/>
          <w:color w:val="1A1A1A"/>
          <w:sz w:val="24"/>
          <w:szCs w:val="24"/>
        </w:rPr>
        <w:t>Agricultural emissions policy is one of the most challenging climate policy areas. Future platform versions could reasonably engage this area but the design work required is substantial.</w:t>
      </w:r>
    </w:p>
    <w:p>
      <w:pPr>
        <w:pStyle w:val="Heading1"/>
        <w:spacing w:after="240" w:line="340"/>
        <w:jc w:val="both"/>
      </w:pPr>
      <w:r>
        <w:rPr>
          <w:rFonts w:ascii="Georgia" w:cs="Georgia" w:eastAsia="Georgia" w:hAnsi="Georgia"/>
          <w:color w:val="1A1A1A"/>
          <w:sz w:val="24"/>
          <w:szCs w:val="24"/>
        </w:rPr>
        <w:t>Building Codes and Energy Efficiency</w:t>
      </w:r>
    </w:p>
    <w:p>
      <w:pPr>
        <w:spacing w:after="240" w:line="340"/>
        <w:jc w:val="both"/>
      </w:pPr>
      <w:r>
        <w:rPr>
          <w:rFonts w:ascii="Georgia" w:cs="Georgia" w:eastAsia="Georgia" w:hAnsi="Georgia"/>
          <w:color w:val="1A1A1A"/>
          <w:sz w:val="24"/>
          <w:szCs w:val="24"/>
        </w:rPr>
        <w:t>Building energy use accounts for approximately 30 percent of US emissions. Federal energy efficiency standards (appliance standards under the Energy Policy and Conservation Act, building codes through state-administered programs and federal model codes, federal building efficiency requirements for federally-funded construction) provide regulatory framework. Federal incentives (Inflation Reduction Act tax credits for residential energy efficiency, commercial building tax incentives, Energy Star labeling) provide market support. The platform does not specifically address building energy efficiency.</w:t>
      </w:r>
    </w:p>
    <w:p>
      <w:pPr>
        <w:spacing w:after="240" w:before="480"/>
      </w:pPr>
      <w:r>
        <w:rPr>
          <w:rFonts w:ascii="Arial" w:cs="Arial" w:eastAsia="Arial" w:hAnsi="Arial"/>
          <w:b/>
          <w:bCs/>
          <w:color w:val="1F4E78"/>
          <w:sz w:val="36"/>
          <w:szCs w:val="36"/>
        </w:rPr>
        <w:t>Building energy efficiency is a relatively non-controversial climate policy area where federal action has substantial bipartisan history. Future platform versions could reasonably commit to expanded federal action on building efficiency without major political risk.</w:t>
      </w:r>
    </w:p>
    <w:p>
      <w:pPr>
        <w:pStyle w:val="Heading1"/>
      </w:pPr>
      <w:r>
        <w:t>Strategic Reasoning for the Climate Omission</w:t>
      </w:r>
    </w:p>
    <w:p>
      <w:pPr>
        <w:spacing w:after="240" w:before="480"/>
      </w:pPr>
      <w:r>
        <w:rPr>
          <w:rFonts w:ascii="Arial" w:cs="Arial" w:eastAsia="Arial" w:hAnsi="Arial"/>
          <w:b/>
          <w:bCs/>
          <w:color w:val="1F4E78"/>
          <w:sz w:val="36"/>
          <w:szCs w:val="36"/>
        </w:rPr>
        <w:t>The previous sections describe what the platform omits from comprehensive climate policy. This section articulates why those omissions exist as deliberate scope choices rather than accidents or ideological gaps. The strategic reasoning has multiple components, none of which are individually decisive but which together explain the choice. This section is the platform's honest answer to a question climate-engaged readers reasonably ask: why does the platform address every other major social-investment domain in detail (healthcare, retirement, education, childcare, mental health, Civic Infrastructure, broadband) but treat climate as a scope omission? The previous treatment in this document acknowledged the omission but did not engage with its logic. That treatment was honest about the gap but not analytically satisfying; this section closes that gap. Open Issues Registry RESEARCH-7 specifically tracked the missing strategic reasoning analysis; this section addresses RESEARCH-7.</w:t>
      </w:r>
    </w:p>
    <w:p>
      <w:pPr>
        <w:pStyle w:val="Heading2"/>
        <w:spacing w:after="160" w:before="360"/>
      </w:pPr>
      <w:r>
        <w:rPr>
          <w:rFonts w:ascii="Arial" w:cs="Arial" w:eastAsia="Arial" w:hAnsi="Arial"/>
          <w:b/>
          <w:bCs/>
          <w:color w:val="1F4E78"/>
          <w:sz w:val="28"/>
          <w:szCs w:val="28"/>
        </w:rPr>
        <w:t>Architectural Reform Versus Comprehensive Policy</w:t>
      </w:r>
    </w:p>
    <w:p>
      <w:pPr>
        <w:spacing w:after="240" w:before="480"/>
      </w:pPr>
      <w:r>
        <w:rPr>
          <w:rFonts w:ascii="Arial" w:cs="Arial" w:eastAsia="Arial" w:hAnsi="Arial"/>
          <w:b/>
          <w:bCs/>
          <w:color w:val="1F4E78"/>
          <w:sz w:val="36"/>
          <w:szCs w:val="36"/>
        </w:rPr>
        <w:t>The platform is fundamentally about architectural reform of economic systems: how retirement is structured (Community Contribution Plan), how wages are set (Empirical Wage Floors), how public capital accumulates (Sovereign Wealth Fund), how healthcare is delivered (universal healthcare Access), how childcare is organized (universal childcare Access), how telecommunications and physical infrastructure are owned (Federal Infrastructure Fee architecture, Civic Infrastructure pillar). These are structural changes to how foundational systems operate, with effects that compound over decades. The platform's analytical contribution is demonstrating that these architectures are coherent, fiscally sustainable, and operationally feasible.</w:t>
      </w:r>
    </w:p>
    <w:p>
      <w:pPr>
        <w:spacing w:after="240" w:before="480"/>
      </w:pPr>
      <w:r>
        <w:rPr>
          <w:rFonts w:ascii="Arial" w:cs="Arial" w:eastAsia="Arial" w:hAnsi="Arial"/>
          <w:b/>
          <w:bCs/>
          <w:color w:val="1F4E78"/>
          <w:sz w:val="36"/>
          <w:szCs w:val="36"/>
        </w:rPr>
        <w:t>Comprehensive climate policy is a different category of work. It is dominated by policy choices within established structures: what carbon price level, what allowance allocation method, what sectoral coverage, what mitigation versus adaptation balance, what regulatory mechanism in buildings and transportation and agriculture. These choices matter enormously, but they are policy questions about how to operate within regulatory and fiscal architectures that already exist. Adding comprehensive climate policy to the platform would shift its character from architectural reform to comprehensive policy reform. The platform would become harder to evaluate (climate policy choices have their own contested literatures) and weaker at what it currently does well (showing that specific architectural reforms produce coherent outcomes).</w:t>
      </w:r>
    </w:p>
    <w:p>
      <w:pPr>
        <w:pStyle w:val="Heading2"/>
        <w:spacing w:after="160" w:before="360"/>
      </w:pPr>
      <w:r>
        <w:rPr>
          <w:rFonts w:ascii="Arial" w:cs="Arial" w:eastAsia="Arial" w:hAnsi="Arial"/>
          <w:b/>
          <w:bCs/>
          <w:color w:val="1F4E78"/>
          <w:sz w:val="28"/>
          <w:szCs w:val="28"/>
        </w:rPr>
        <w:t>Advocacy Infrastructure Asymmetry</w:t>
      </w:r>
    </w:p>
    <w:p>
      <w:pPr>
        <w:spacing w:after="240" w:before="480"/>
      </w:pPr>
      <w:r>
        <w:rPr>
          <w:rFonts w:ascii="Arial" w:cs="Arial" w:eastAsia="Arial" w:hAnsi="Arial"/>
          <w:b/>
          <w:bCs/>
          <w:color w:val="1F4E78"/>
          <w:sz w:val="36"/>
          <w:szCs w:val="36"/>
        </w:rPr>
        <w:t>Climate policy has substantial existing advocacy infrastructure: well-funded national organizations (Environmental Defense Fund, Natural Resources Defense Council, Sierra Club, 350.org, Sunrise Movement, Citizens' Climate Lobby, and many others), academic institutions (climate policy programs at major universities, climate science centers, environmental schools), think tanks (Resources for the Future, World Resources Institute, RMI), philanthropic funders (Bezos Earth Fund, Bloomberg Philanthropies climate work, ClimateWorks Foundation), and engaged constituency organizing across the political spectrum from Evangelical Environmental Network to youth climate movements. Climate policy advocacy is one of the best-resourced policy domains in American political life.</w:t>
      </w:r>
    </w:p>
    <w:p>
      <w:pPr>
        <w:spacing w:after="240" w:before="480"/>
      </w:pPr>
      <w:r>
        <w:rPr>
          <w:rFonts w:ascii="Arial" w:cs="Arial" w:eastAsia="Arial" w:hAnsi="Arial"/>
          <w:b/>
          <w:bCs/>
          <w:color w:val="1F4E78"/>
          <w:sz w:val="36"/>
          <w:szCs w:val="36"/>
        </w:rPr>
        <w:t>Architectural reform of social-investment systems has substantially less advocacy infrastructure. There are think tanks and policy organizations in adjacent areas (Center for American Progress, Roosevelt Institute, Economic Policy Institute, New America), but comprehensive integrated architectural reform proposals are rare. The platform's contribution is filling a relatively underpopulated niche: developing a coherent architectural reform package that integrates retirement, wages, education, healthcare, childcare, infrastructure, and mental health rather than producing single-issue proposals. The marginal value of platform contribution to climate policy advocacy is low (the field is well-resourced); the marginal value of platform contribution to architectural reform is higher (the field is not). This is a comparative-advantage argument for scope discipline, not a substantive argument against climate policy.</w:t>
      </w:r>
    </w:p>
    <w:p>
      <w:pPr>
        <w:pStyle w:val="Heading2"/>
        <w:spacing w:after="160" w:before="360"/>
      </w:pPr>
      <w:r>
        <w:rPr>
          <w:rFonts w:ascii="Arial" w:cs="Arial" w:eastAsia="Arial" w:hAnsi="Arial"/>
          <w:b/>
          <w:bCs/>
          <w:color w:val="1F4E78"/>
          <w:sz w:val="28"/>
          <w:szCs w:val="28"/>
        </w:rPr>
        <w:t>The IRA (Individual Retirement Account) Era Changes the Climate Calculus</w:t>
      </w:r>
    </w:p>
    <w:p>
      <w:pPr>
        <w:spacing w:after="240" w:before="480"/>
      </w:pPr>
      <w:r>
        <w:rPr>
          <w:rFonts w:ascii="Arial" w:cs="Arial" w:eastAsia="Arial" w:hAnsi="Arial"/>
          <w:b/>
          <w:bCs/>
          <w:color w:val="1F4E78"/>
          <w:sz w:val="36"/>
          <w:szCs w:val="36"/>
        </w:rPr>
        <w:t>The Inflation Reduction Act of 2022, the Bipartisan Infrastructure Law of 2021, and the CHIPS and Science Act of 2022 collectively represent the largest federal climate investment in United States history. The IRA alone projects approximately $369 billion in climate-related federal spending and tax expenditures over ten years, with substantial additional private capital catalyzed through tax credits and loan guarantees. The BIL provides approximately $80 billion in climate-relevant infrastructure investment. The CHIPS Act includes substantial domestic clean energy manufacturing support. Federal climate policy in 2026 looks materially different from federal climate policy in 2020.</w:t>
      </w:r>
    </w:p>
    <w:p>
      <w:pPr>
        <w:spacing w:after="240" w:before="480"/>
      </w:pPr>
      <w:r>
        <w:rPr>
          <w:rFonts w:ascii="Arial" w:cs="Arial" w:eastAsia="Arial" w:hAnsi="Arial"/>
          <w:b/>
          <w:bCs/>
          <w:color w:val="1F4E78"/>
          <w:sz w:val="36"/>
          <w:szCs w:val="36"/>
        </w:rPr>
        <w:t>The implication for the platform is that the marginal value of additional comprehensive climate proposals has declined relative to the marginal value of proposals in domains where federal action has stalled. Federal action on universal healthcare, on retirement security, on comprehensive childcare, on wage architecture, on telecommunications infrastructure ownership has not received its IRA-equivalent investment. The platform's chosen scope addresses domains where the federal contribution gap is largest, and accepts that climate policy is the domain where the federal contribution gap is smallest. This is not climate complacency. The IRA era does not solve climate; substantial additional climate policy work remains. But the relative value of platform contribution is higher elsewhere.</w:t>
      </w:r>
    </w:p>
    <w:p>
      <w:pPr>
        <w:pStyle w:val="Heading2"/>
        <w:spacing w:after="160" w:before="360"/>
      </w:pPr>
      <w:r>
        <w:rPr>
          <w:rFonts w:ascii="Arial" w:cs="Arial" w:eastAsia="Arial" w:hAnsi="Arial"/>
          <w:b/>
          <w:bCs/>
          <w:color w:val="1F4E78"/>
          <w:sz w:val="28"/>
          <w:szCs w:val="28"/>
        </w:rPr>
        <w:t>Scope Discipline as Architectural Integrity</w:t>
      </w:r>
    </w:p>
    <w:p>
      <w:pPr>
        <w:spacing w:after="240" w:before="480"/>
      </w:pPr>
      <w:r>
        <w:rPr>
          <w:rFonts w:ascii="Arial" w:cs="Arial" w:eastAsia="Arial" w:hAnsi="Arial"/>
          <w:b/>
          <w:bCs/>
          <w:color w:val="1F4E78"/>
          <w:sz w:val="36"/>
          <w:szCs w:val="36"/>
        </w:rPr>
        <w:t>A platform that proposes to reform retirement, healthcare, education, childcare, mental health, infrastructure, broadband, climate, immigration, housing, gun policy, criminal justice, foreign policy, tax policy, and trade policy in a single document either becomes incoherent or implausibly large. Scope discipline is a virtue in policy proposals as in software design: a system that does many things badly is worse than a system that does specific things well. The platform's chosen scope is already the largest integrated social-investment package in modern American political proposals, with eight pillars and over eighty analytical items totaling several hundred thousand words of substantiation.</w:t>
      </w:r>
    </w:p>
    <w:p>
      <w:pPr>
        <w:spacing w:after="240" w:before="480"/>
      </w:pPr>
      <w:r>
        <w:rPr>
          <w:rFonts w:ascii="Arial" w:cs="Arial" w:eastAsia="Arial" w:hAnsi="Arial"/>
          <w:b/>
          <w:bCs/>
          <w:color w:val="1F4E78"/>
          <w:sz w:val="36"/>
          <w:szCs w:val="36"/>
        </w:rPr>
        <w:t>Adding comprehensive climate policy to this scope would compromise coherence for political optics. Climate-engaged readers might prefer that the platform include their concern; readers in any single policy domain typically prefer that the platform include their concern. Universal inclusion produces a document that satisfies no particular concern. The scope choice is a commitment to do specific things well rather than many things superficially. Future versions of the platform may extend its scope; this document outlines three explicit design directions for future climate integration that preserve the platform's architectural integrity. The current scope choice is a function of where the platform's analytical work has gone deep, not a permanent boundary.</w:t>
      </w:r>
    </w:p>
    <w:p>
      <w:pPr>
        <w:pStyle w:val="Heading2"/>
        <w:spacing w:after="160" w:before="360"/>
      </w:pPr>
      <w:r>
        <w:rPr>
          <w:rFonts w:ascii="Arial" w:cs="Arial" w:eastAsia="Arial" w:hAnsi="Arial"/>
          <w:b/>
          <w:bCs/>
          <w:color w:val="1F4E78"/>
          <w:sz w:val="28"/>
          <w:szCs w:val="28"/>
        </w:rPr>
        <w:t>Implicit Climate Co-Benefits Exist</w:t>
      </w:r>
    </w:p>
    <w:p>
      <w:pPr>
        <w:spacing w:after="240" w:before="480"/>
      </w:pPr>
      <w:r>
        <w:rPr>
          <w:rFonts w:ascii="Arial" w:cs="Arial" w:eastAsia="Arial" w:hAnsi="Arial"/>
          <w:b/>
          <w:bCs/>
          <w:color w:val="1F4E78"/>
          <w:sz w:val="36"/>
          <w:szCs w:val="36"/>
        </w:rPr>
        <w:t>The platform's chosen commitments have substantial implicit climate co-benefits even though they are not framed as climate policy. The Civic Infrastructure pillar's Energy Grid Modernization commitment is direct climate-enabling infrastructure: a modernized grid is the precondition for renewable generation integration, transportation electrification, and reliable power delivery as climate change increases extreme weather frequency. The Civic Infrastructure pillar's Water and Sanitation Infrastructure commitment is direct climate adaptation infrastructure. The Civic Infrastructure pillar's Transportation Infrastructure commitment, properly designed, would invest substantially in transit and rail (which enable transportation alternatives to private vehicle use) rather than only in highways (which extend fossil-fuel transportation infrastructure).</w:t>
      </w:r>
    </w:p>
    <w:p>
      <w:pPr>
        <w:spacing w:after="240" w:before="480"/>
      </w:pPr>
      <w:r>
        <w:rPr>
          <w:rFonts w:ascii="Arial" w:cs="Arial" w:eastAsia="Arial" w:hAnsi="Arial"/>
          <w:b/>
          <w:bCs/>
          <w:color w:val="1F4E78"/>
          <w:sz w:val="36"/>
          <w:szCs w:val="36"/>
        </w:rPr>
        <w:t>The platform's Federal Infrastructure Fee architecture extends federal ownership beyond grid to telecommunications, which has its own climate implications (data center efficiency, network energy consumption, network resilience to climate-driven outages). The Sovereign Fund's investment policy interacts with climate transition risk and could include explicit climate-aware investment policy without compromising the platform's architectural commitments. The platform is not climate-blind; it is climate-adjacent without being climate-comprehensive. The honest characterization is: the platform's climate footprint is substantial in adaptation, modest in mitigation, and absent in comprehensive climate-policy domains like carbon pricing.</w:t>
      </w:r>
    </w:p>
    <w:p>
      <w:pPr>
        <w:pStyle w:val="Heading2"/>
        <w:spacing w:after="160" w:before="360"/>
      </w:pPr>
      <w:r>
        <w:rPr>
          <w:rFonts w:ascii="Arial" w:cs="Arial" w:eastAsia="Arial" w:hAnsi="Arial"/>
          <w:b/>
          <w:bCs/>
          <w:color w:val="1F4E78"/>
          <w:sz w:val="28"/>
          <w:szCs w:val="28"/>
        </w:rPr>
        <w:t>Honest Division of Labor</w:t>
      </w:r>
    </w:p>
    <w:p>
      <w:pPr>
        <w:spacing w:after="240" w:before="480"/>
      </w:pPr>
      <w:r>
        <w:rPr>
          <w:rFonts w:ascii="Arial" w:cs="Arial" w:eastAsia="Arial" w:hAnsi="Arial"/>
          <w:b/>
          <w:bCs/>
          <w:color w:val="1F4E78"/>
          <w:sz w:val="36"/>
          <w:szCs w:val="36"/>
        </w:rPr>
        <w:t>The platform's lead author is not a climate policy expert. Producing a thin comprehensive climate policy section would undermine the platform's credibility on the architectures it does treat in depth. The honest path is acknowledging this and pointing to the substantial existing literature and advocacy organizations that do treat climate policy comprehensively. The platform's analytical contribution is showing that specific architectural reforms are coherent and feasible; that contribution is weakened, not strengthened, by extending into domains where the lead author cannot produce equivalent analytical depth.</w:t>
      </w:r>
    </w:p>
    <w:p>
      <w:pPr>
        <w:spacing w:after="240" w:before="480"/>
      </w:pPr>
      <w:r>
        <w:rPr>
          <w:rFonts w:ascii="Arial" w:cs="Arial" w:eastAsia="Arial" w:hAnsi="Arial"/>
          <w:b/>
          <w:bCs/>
          <w:color w:val="1F4E78"/>
          <w:sz w:val="36"/>
          <w:szCs w:val="36"/>
        </w:rPr>
        <w:t>This is the same reasoning that explains why the platform does not engage immigration policy, housing supply policy, criminal justice reform, or several other major domains. Each is acknowledged in the Open Issues Registry's SCOPE section as out-of-scope rather than treated thinly. Climate is the highest-profile of these omissions because climate policy advocacy is so well-resourced and visible, but the underlying scope discipline is identical.</w:t>
      </w:r>
    </w:p>
    <w:p>
      <w:pPr>
        <w:pStyle w:val="Heading2"/>
        <w:spacing w:after="160" w:before="360"/>
      </w:pPr>
      <w:r>
        <w:rPr>
          <w:rFonts w:ascii="Arial" w:cs="Arial" w:eastAsia="Arial" w:hAnsi="Arial"/>
          <w:b/>
          <w:bCs/>
          <w:color w:val="1F4E78"/>
          <w:sz w:val="28"/>
          <w:szCs w:val="28"/>
        </w:rPr>
        <w:t>What This Reasoning Is And Is Not</w:t>
      </w:r>
    </w:p>
    <w:p>
      <w:pPr>
        <w:spacing w:after="240" w:before="480"/>
      </w:pPr>
      <w:r>
        <w:rPr>
          <w:rFonts w:ascii="Arial" w:cs="Arial" w:eastAsia="Arial" w:hAnsi="Arial"/>
          <w:b/>
          <w:bCs/>
          <w:color w:val="1F4E78"/>
          <w:sz w:val="36"/>
          <w:szCs w:val="36"/>
        </w:rPr>
        <w:t>What this reasoning is. A scope choice argument: the platform's architectural reform contribution is sharper if it does not extend into comprehensive climate policy. A comparative-advantage argument: climate policy advocacy is well-resourced; architectural reform advocacy is not. A marginal-value argument: federal climate policy received its largest-ever investment recently; federal investment in the platform's chosen domains has not. A scope-discipline argument: a platform that does many things addresses none well. A division-of-labor argument: the platform's lead author lacks climate policy expertise sufficient for substantive treatment.</w:t>
      </w:r>
    </w:p>
    <w:p>
      <w:pPr>
        <w:spacing w:after="240" w:before="480"/>
      </w:pPr>
      <w:r>
        <w:rPr>
          <w:rFonts w:ascii="Arial" w:cs="Arial" w:eastAsia="Arial" w:hAnsi="Arial"/>
          <w:b/>
          <w:bCs/>
          <w:color w:val="1F4E78"/>
          <w:sz w:val="36"/>
          <w:szCs w:val="36"/>
        </w:rPr>
        <w:t>What this reasoning is not. Not climate skepticism: anthropogenic climate change is real, the consequences are serious, and substantial policy response is appropriate. Not opposition to climate policy: the platform's design directions section outlines three pathways for future climate integration that the platform's structure supports. Not a claim that the platform's silence on climate is desirable indefinitely: the platform's silence reflects current scope discipline, not a permanent judgment that climate is unimportant. Not a claim that climate-engaged readers should accept the omission without question: reasonable advocates can disagree with this scope choice. The disagreement is legitimate and the platform should not pretend otherwise.</w:t>
      </w:r>
    </w:p>
    <w:p>
      <w:pPr>
        <w:pStyle w:val="Heading2"/>
        <w:spacing w:after="160" w:before="360"/>
      </w:pPr>
      <w:r>
        <w:rPr>
          <w:rFonts w:ascii="Arial" w:cs="Arial" w:eastAsia="Arial" w:hAnsi="Arial"/>
          <w:b/>
          <w:bCs/>
          <w:color w:val="1F4E78"/>
          <w:sz w:val="28"/>
          <w:szCs w:val="28"/>
        </w:rPr>
        <w:t>Implications for Climate-Engaged Readers</w:t>
      </w:r>
    </w:p>
    <w:p>
      <w:pPr>
        <w:spacing w:after="240" w:before="480"/>
      </w:pPr>
      <w:r>
        <w:rPr>
          <w:rFonts w:ascii="Arial" w:cs="Arial" w:eastAsia="Arial" w:hAnsi="Arial"/>
          <w:b/>
          <w:bCs/>
          <w:color w:val="1F4E78"/>
          <w:sz w:val="36"/>
          <w:szCs w:val="36"/>
        </w:rPr>
        <w:t>A climate-engaged reader evaluating the platform has three reasonable responses to this strategic reasoning. First, accept the scope choice as legitimate division of labor and engage with the platform on its own terms (architectural reform of social-investment systems). The platform's commitments have substantial implicit climate co-benefits even without explicit climate framing, and the platform does not preclude future climate integration. Second, advocate for explicit climate integration in future platform versions through one of the three design directions outlined in the next major section of this document. The platform's architecture supports each direction without requiring restructuring of core commitments. Third, conclude that the platform's scope choice is wrong and that comprehensive climate policy must be part of any credible reform proposal. This conclusion is reasonable; the platform's current architecture would not satisfy a reader holding it. The honest claim is not that this scope choice is the only defensible scope choice but that it is a defensible scope choice with articulable strategic reasoning, which is now articulated.</w:t>
      </w:r>
    </w:p>
    <w:p>
      <w:pPr>
        <w:pStyle w:val="Heading1"/>
        <w:spacing w:after="240" w:line="340"/>
        <w:jc w:val="both"/>
      </w:pPr>
      <w:r>
        <w:rPr>
          <w:rFonts w:ascii="Georgia" w:cs="Georgia" w:eastAsia="Georgia" w:hAnsi="Georgia"/>
          <w:color w:val="1A1A1A"/>
          <w:sz w:val="24"/>
          <w:szCs w:val="24"/>
        </w:rPr>
        <w:t>Existing Federal Climate Framework</w:t>
      </w:r>
    </w:p>
    <w:p>
      <w:pPr>
        <w:spacing w:after="240" w:line="340"/>
        <w:jc w:val="both"/>
      </w:pPr>
      <w:r>
        <w:rPr>
          <w:rFonts w:ascii="Georgia" w:cs="Georgia" w:eastAsia="Georgia" w:hAnsi="Georgia"/>
          <w:color w:val="1A1A1A"/>
          <w:sz w:val="24"/>
          <w:szCs w:val="24"/>
        </w:rPr>
        <w:t>The platform interacts with an existing federal climate framework that includes the Inflation Reduction Act of 2022 (the largest climate investment in US history at approximately $369 billion in projected federal spending and tax expenditures over ten years), the Bipartisan Infrastructure Law of 2021 (with substantial climate-related infrastructure investment), various EPA regulations under existing Clean Air Act authority (vehicle emissions standards, power plant emissions standards under Section 111(d), methane regulations), and various other federal programs.</w:t>
      </w:r>
    </w:p>
    <w:p>
      <w:pPr>
        <w:spacing w:after="240" w:before="480"/>
      </w:pPr>
      <w:r>
        <w:rPr>
          <w:rFonts w:ascii="Arial" w:cs="Arial" w:eastAsia="Arial" w:hAnsi="Arial"/>
          <w:b/>
          <w:bCs/>
          <w:color w:val="1F4E78"/>
          <w:sz w:val="36"/>
          <w:szCs w:val="36"/>
        </w:rPr>
        <w:t>The platform's Civic Infrastructure investment could integrate with or coexist with this existing framework. The IRA's provisions are mostly tax credits (production tax credit and investment tax credit for clean energy, electric vehicle tax credit, residential energy efficiency credits, manufacturing credits for domestic clean energy production); the platform's federal income tax architecture (the wage floor exemption replacing the standard deduction) does not directly conflict with these credits, which operate as credits against tax liability rather than as deductions reducing taxable income. IRA tax credits continue under the platform unchanged.</w:t>
      </w:r>
    </w:p>
    <w:p>
      <w:pPr>
        <w:spacing w:after="160" w:before="360"/>
      </w:pPr>
      <w:r>
        <w:rPr>
          <w:rFonts w:ascii="Arial" w:cs="Arial" w:eastAsia="Arial" w:hAnsi="Arial"/>
          <w:b/>
          <w:bCs/>
          <w:color w:val="1F4E78"/>
          <w:sz w:val="28"/>
          <w:szCs w:val="28"/>
        </w:rPr>
        <w:t>EPA regulatory authority continues under the platform unchanged. Vehicle emissions standards, power plant emissions standards, methane regulations, and other EPA actions operate on regulated entities directly and are not affected by the platform's tax or social policy architecture. The platform does not modify EPA's regulatory authority either to expand or restrict it.</w:t>
      </w:r>
    </w:p>
    <w:p>
      <w:pPr>
        <w:spacing w:after="240" w:line="340"/>
        <w:jc w:val="both"/>
      </w:pPr>
      <w:r>
        <w:rPr>
          <w:rFonts w:ascii="Georgia" w:cs="Georgia" w:eastAsia="Georgia" w:hAnsi="Georgia"/>
          <w:color w:val="1A1A1A"/>
          <w:sz w:val="24"/>
          <w:szCs w:val="24"/>
        </w:rPr>
        <w:t>Future climate policy reform — whether through federal carbon pricing, expanded regulatory action, additional tax credit reform, or other mechanisms — would interact with the platform but would generally not be incompatible with the platform's existing commitments. The platform's architecture leaves room for substantial climate policy expansion without requiring fundamental redesign.</w:t>
      </w:r>
    </w:p>
    <w:p>
      <w:pPr>
        <w:pStyle w:val="Heading1"/>
        <w:spacing w:after="160" w:before="360"/>
      </w:pPr>
      <w:r>
        <w:rPr>
          <w:rFonts w:ascii="Arial" w:cs="Arial" w:eastAsia="Arial" w:hAnsi="Arial"/>
          <w:b/>
          <w:bCs/>
          <w:color w:val="1F4E78"/>
          <w:sz w:val="28"/>
          <w:szCs w:val="28"/>
        </w:rPr>
        <w:t>Design Directions for Future Platform Climate Integration</w:t>
      </w:r>
    </w:p>
    <w:p>
      <w:pPr>
        <w:pStyle w:val="Heading2"/>
        <w:spacing w:after="240" w:line="340"/>
        <w:jc w:val="both"/>
      </w:pPr>
      <w:r>
        <w:rPr>
          <w:rFonts w:ascii="Georgia" w:cs="Georgia" w:eastAsia="Georgia" w:hAnsi="Georgia"/>
          <w:color w:val="1A1A1A"/>
          <w:sz w:val="24"/>
          <w:szCs w:val="24"/>
        </w:rPr>
        <w:t>Direction A: Carbon Pricing as Sovereign Fund Revenue Source</w:t>
      </w:r>
    </w:p>
    <w:p>
      <w:pPr>
        <w:spacing w:after="160" w:before="360"/>
      </w:pPr>
      <w:r>
        <w:rPr>
          <w:rFonts w:ascii="Arial" w:cs="Arial" w:eastAsia="Arial" w:hAnsi="Arial"/>
          <w:b/>
          <w:bCs/>
          <w:color w:val="1F4E78"/>
          <w:sz w:val="28"/>
          <w:szCs w:val="28"/>
        </w:rPr>
        <w:t>A federal carbon tax could be structured to direct revenue into the Sovereign Fund. Estimated US revenue from a $50/ton carbon tax (consistent with mid-range social cost of carbon estimates) would be approximately $200 billion per year initially, declining as emissions decline through the policy's effect. This revenue could substantially augment the Sovereign Fund's growth trajectory, allowing the Fund to disburse more to platform commitments and reach mature steady state more rapidly.</w:t>
      </w:r>
    </w:p>
    <w:p>
      <w:pPr>
        <w:spacing w:after="240" w:line="340"/>
        <w:jc w:val="both"/>
      </w:pPr>
      <w:r>
        <w:rPr>
          <w:rFonts w:ascii="Georgia" w:cs="Georgia" w:eastAsia="Georgia" w:hAnsi="Georgia"/>
          <w:color w:val="1A1A1A"/>
          <w:sz w:val="24"/>
          <w:szCs w:val="24"/>
        </w:rPr>
        <w:t>Direction A would integrate climate policy with the platform's central fiscal architecture. The carbon tax produces revenue that funds platform commitments; the platform's universal benefits provide partial offset against the regressive distributional effects of carbon pricing (low-income households generally pay a higher share of income on energy than high-income households, but the platform's universal benefits provide relatively larger benefit to low-income households). This is a coherent integration that could substantially benefit both the platform's funding and the broader climate policy goal.</w:t>
      </w:r>
    </w:p>
    <w:p>
      <w:pPr>
        <w:spacing w:after="160" w:before="360"/>
      </w:pPr>
      <w:r>
        <w:rPr>
          <w:rFonts w:ascii="Arial" w:cs="Arial" w:eastAsia="Arial" w:hAnsi="Arial"/>
          <w:b/>
          <w:bCs/>
          <w:color w:val="1F4E78"/>
          <w:sz w:val="28"/>
          <w:szCs w:val="28"/>
        </w:rPr>
        <w:t>The political viability of Direction A depends on assembling a coalition for carbon pricing that has historically been elusive at the federal level. Carbon dividend approaches (similar to Direction A but with revenue flowing to households as direct dividends rather than to the Sovereign Fund) have been more politically prominent. The platform could plausibly adopt either revenue-use approach.</w:t>
      </w:r>
    </w:p>
    <w:p>
      <w:pPr>
        <w:pStyle w:val="Heading2"/>
        <w:spacing w:after="240" w:line="340"/>
        <w:jc w:val="both"/>
      </w:pPr>
      <w:r>
        <w:rPr>
          <w:rFonts w:ascii="Georgia" w:cs="Georgia" w:eastAsia="Georgia" w:hAnsi="Georgia"/>
          <w:color w:val="1A1A1A"/>
          <w:sz w:val="24"/>
          <w:szCs w:val="24"/>
        </w:rPr>
        <w:t>Direction B: Environmental Justice Integration with Civic Infrastructure</w:t>
      </w:r>
    </w:p>
    <w:p>
      <w:pPr>
        <w:spacing w:after="160" w:before="360"/>
      </w:pPr>
      <w:r>
        <w:rPr>
          <w:rFonts w:ascii="Arial" w:cs="Arial" w:eastAsia="Arial" w:hAnsi="Arial"/>
          <w:b/>
          <w:bCs/>
          <w:color w:val="1F4E78"/>
          <w:sz w:val="28"/>
          <w:szCs w:val="28"/>
        </w:rPr>
        <w:t>The Civic Infrastructure pillar could be redesigned to incorporate environmental justice criteria. Federal investment in physical infrastructure could prioritize historically underserved communities, eliminate pollution sources in vulnerable communities, and provide climate adaptation infrastructure where impacts are most severe. The federal-state cooperation framework analyzed in v2.14 could include environmental justice criteria in cooperation incentive design — states that meet environmental justice standards in their infrastructure planning receive priority federal cooperation.</w:t>
      </w:r>
    </w:p>
    <w:p>
      <w:pPr>
        <w:spacing w:after="240" w:line="340"/>
        <w:jc w:val="both"/>
      </w:pPr>
      <w:r>
        <w:rPr>
          <w:rFonts w:ascii="Georgia" w:cs="Georgia" w:eastAsia="Georgia" w:hAnsi="Georgia"/>
          <w:color w:val="1A1A1A"/>
          <w:sz w:val="24"/>
          <w:szCs w:val="24"/>
        </w:rPr>
        <w:t>Direction B is a relatively low-cost addition that could substantially benefit specific communities. The implementation work involves criteria development, data infrastructure for measuring environmental justice outcomes, and coordination with existing federal environmental justice work. None of this requires major architectural changes to the platform.</w:t>
      </w:r>
    </w:p>
    <w:p>
      <w:pPr>
        <w:pStyle w:val="Heading2"/>
        <w:spacing w:after="240" w:before="480"/>
      </w:pPr>
      <w:r>
        <w:rPr>
          <w:rFonts w:ascii="Arial" w:cs="Arial" w:eastAsia="Arial" w:hAnsi="Arial"/>
          <w:b/>
          <w:bCs/>
          <w:color w:val="1F4E78"/>
          <w:sz w:val="36"/>
          <w:szCs w:val="36"/>
        </w:rPr>
        <w:t>Direction C: Climate Adaptation as Civic Infrastructure Component</w:t>
      </w:r>
    </w:p>
    <w:p>
      <w:pPr>
        <w:spacing w:after="240" w:line="340"/>
        <w:jc w:val="both"/>
      </w:pPr>
      <w:r>
        <w:rPr>
          <w:rFonts w:ascii="Georgia" w:cs="Georgia" w:eastAsia="Georgia" w:hAnsi="Georgia"/>
          <w:color w:val="1A1A1A"/>
          <w:sz w:val="24"/>
          <w:szCs w:val="24"/>
        </w:rPr>
        <w:t>Climate adaptation could be specified as a Civic Infrastructure component in future platform versions. This would commit federal funding and coordination capacity to specific adaptation areas: sea level rise protection, wildfire management, extreme heat response, drought management, and other adaptation needs. The federal-state cooperation framework would apply to these areas, with state cooperation supporting adaptation planning and implementation.</w:t>
      </w:r>
    </w:p>
    <w:p>
      <w:pPr>
        <w:spacing w:after="240" w:line="340"/>
        <w:jc w:val="both"/>
      </w:pPr>
      <w:r>
        <w:rPr>
          <w:rFonts w:ascii="Georgia" w:cs="Georgia" w:eastAsia="Georgia" w:hAnsi="Georgia"/>
          <w:color w:val="1A1A1A"/>
          <w:sz w:val="24"/>
          <w:szCs w:val="24"/>
        </w:rPr>
        <w:t>Direction C builds directly on the Civic Infrastructure pillar's existing structure. The fiscal scale required is substantial (federal climate adaptation funding could plausibly reach tens of billions annually) but is within the Sovereign Fund's mature steady-state disbursement capacity. The political case for adaptation is generally less contested than mitigation; many constituencies that resist mitigation policy support adaptation policy.</w:t>
      </w:r>
    </w:p>
    <w:p>
      <w:pPr>
        <w:pStyle w:val="Heading2"/>
        <w:spacing w:after="160" w:before="360"/>
      </w:pPr>
      <w:r>
        <w:rPr>
          <w:rFonts w:ascii="Arial" w:cs="Arial" w:eastAsia="Arial" w:hAnsi="Arial"/>
          <w:b/>
          <w:bCs/>
          <w:color w:val="1F4E78"/>
          <w:sz w:val="28"/>
          <w:szCs w:val="28"/>
        </w:rPr>
        <w:t>Direction D: Building Code and Efficiency Integration</w:t>
      </w:r>
    </w:p>
    <w:p>
      <w:pPr>
        <w:spacing w:after="240" w:line="340"/>
        <w:jc w:val="both"/>
      </w:pPr>
      <w:r>
        <w:rPr>
          <w:rFonts w:ascii="Georgia" w:cs="Georgia" w:eastAsia="Georgia" w:hAnsi="Georgia"/>
          <w:color w:val="1A1A1A"/>
          <w:sz w:val="24"/>
          <w:szCs w:val="24"/>
        </w:rPr>
        <w:t>Federal building codes and energy efficiency standards could be specified as platform commitments. Expanding federal authority over building codes (currently primarily state-administered with federal model codes) involves federal-state cooperation considerations analogous to those analyzed in v2.14. Energy efficiency tax incentives could be expanded as part of broader platform tax architecture. The political case for building efficiency policy is relatively non-controversial.</w:t>
      </w:r>
    </w:p>
    <w:p>
      <w:pPr>
        <w:pStyle w:val="Heading2"/>
        <w:spacing w:after="160" w:before="360"/>
      </w:pPr>
      <w:r>
        <w:rPr>
          <w:rFonts w:ascii="Arial" w:cs="Arial" w:eastAsia="Arial" w:hAnsi="Arial"/>
          <w:b/>
          <w:bCs/>
          <w:color w:val="1F4E78"/>
          <w:sz w:val="28"/>
          <w:szCs w:val="28"/>
        </w:rPr>
        <w:t>Direction E: Agricultural Climate Policy</w:t>
      </w:r>
    </w:p>
    <w:p>
      <w:pPr>
        <w:spacing w:after="240" w:line="340"/>
        <w:jc w:val="both"/>
      </w:pPr>
      <w:r>
        <w:rPr>
          <w:rFonts w:ascii="Georgia" w:cs="Georgia" w:eastAsia="Georgia" w:hAnsi="Georgia"/>
          <w:color w:val="1A1A1A"/>
          <w:sz w:val="24"/>
          <w:szCs w:val="24"/>
        </w:rPr>
        <w:t>Agricultural emissions could be addressed through some combination of expanded USDA conservation programs, agricultural carbon pricing exceptions or specific designs, methane regulations, and other approaches. The political case for agricultural climate policy is more contested than for many other climate areas; this direction requires substantial design work and political coalition-building.</w:t>
      </w:r>
    </w:p>
    <w:p>
      <w:pPr>
        <w:pStyle w:val="Heading1"/>
        <w:spacing w:after="240" w:before="480"/>
      </w:pPr>
      <w:r>
        <w:rPr>
          <w:rFonts w:ascii="Arial" w:cs="Arial" w:eastAsia="Arial" w:hAnsi="Arial"/>
          <w:b/>
          <w:bCs/>
          <w:color w:val="1F4E78"/>
          <w:sz w:val="36"/>
          <w:szCs w:val="36"/>
        </w:rPr>
        <w:t>Failure Modes</w:t>
      </w:r>
    </w:p>
    <w:p>
      <w:pPr>
        <w:pStyle w:val="Heading2"/>
        <w:spacing w:after="160" w:before="360"/>
      </w:pPr>
      <w:r>
        <w:rPr>
          <w:rFonts w:ascii="Arial" w:cs="Arial" w:eastAsia="Arial" w:hAnsi="Arial"/>
          <w:b/>
          <w:bCs/>
          <w:color w:val="1F4E78"/>
          <w:sz w:val="28"/>
          <w:szCs w:val="28"/>
        </w:rPr>
        <w:t>The Climate Silence Failure Mode</w:t>
      </w:r>
    </w:p>
    <w:p>
      <w:pPr>
        <w:spacing w:after="240" w:line="340"/>
        <w:jc w:val="both"/>
      </w:pPr>
      <w:r>
        <w:rPr>
          <w:rFonts w:ascii="Georgia" w:cs="Georgia" w:eastAsia="Georgia" w:hAnsi="Georgia"/>
          <w:color w:val="1A1A1A"/>
          <w:sz w:val="24"/>
          <w:szCs w:val="24"/>
        </w:rPr>
        <w:t>If the platform's silence on broader climate policy persists, climate-engaged constituencies (climate advocacy organizations, environmentally-conscious voters, climate-focused political figures) may view the platform as inadequate or as missing a critical dimension of social investment. The platform's communications should acknowledge the climate policy scope choice explicitly rather than ignore the issue. Future platform versions should engage climate policy substantively even if specific design choices remain unresolved.</w:t>
      </w:r>
    </w:p>
    <w:p>
      <w:pPr>
        <w:pStyle w:val="Heading2"/>
        <w:spacing w:after="160" w:before="360"/>
      </w:pPr>
      <w:r>
        <w:rPr>
          <w:rFonts w:ascii="Arial" w:cs="Arial" w:eastAsia="Arial" w:hAnsi="Arial"/>
          <w:b/>
          <w:bCs/>
          <w:color w:val="1F4E78"/>
          <w:sz w:val="28"/>
          <w:szCs w:val="28"/>
        </w:rPr>
        <w:t>The Sovereign Fund Climate Exposure Failure Mode</w:t>
      </w:r>
    </w:p>
    <w:p>
      <w:pPr>
        <w:spacing w:after="240" w:line="340"/>
        <w:jc w:val="both"/>
      </w:pPr>
      <w:r>
        <w:rPr>
          <w:rFonts w:ascii="Georgia" w:cs="Georgia" w:eastAsia="Georgia" w:hAnsi="Georgia"/>
          <w:color w:val="1A1A1A"/>
          <w:sz w:val="24"/>
          <w:szCs w:val="24"/>
        </w:rPr>
        <w:t>The Sovereign Fund's investment strategy interacts with climate transition risk. A Fund heavily exposed to fossil fuel company equities faces stranded asset risk as the climate transition advances. A Fund that has divested fossil fuels may forgo returns during a transition period when fossil fuel companies remain profitable. The trade-off requires explicit consideration. The Sovereign Fund's investment policy should be designed with climate transition awareness regardless of the platform's broader climate policy commitments.</w:t>
      </w:r>
    </w:p>
    <w:p>
      <w:pPr>
        <w:pStyle w:val="Heading2"/>
        <w:spacing w:after="160" w:before="360"/>
      </w:pPr>
      <w:r>
        <w:rPr>
          <w:rFonts w:ascii="Arial" w:cs="Arial" w:eastAsia="Arial" w:hAnsi="Arial"/>
          <w:b/>
          <w:bCs/>
          <w:color w:val="1F4E78"/>
          <w:sz w:val="28"/>
          <w:szCs w:val="28"/>
        </w:rPr>
        <w:t>The Environmental Justice Inadvertent Disadvantage Failure Mode</w:t>
      </w:r>
    </w:p>
    <w:p>
      <w:pPr>
        <w:spacing w:after="240" w:line="340"/>
        <w:jc w:val="both"/>
      </w:pPr>
      <w:r>
        <w:rPr>
          <w:rFonts w:ascii="Georgia" w:cs="Georgia" w:eastAsia="Georgia" w:hAnsi="Georgia"/>
          <w:color w:val="1A1A1A"/>
          <w:sz w:val="24"/>
          <w:szCs w:val="24"/>
        </w:rPr>
        <w:t>Without explicit environmental justice integration, the platform's general investment may inadvertently produce inequitable distribution. Federal infrastructure investment that follows existing patterns may continue to underinvest in historically underserved communities; federal-state cooperation may produce better outcomes in cooperating states (which may not be the states with the most environmental justice need). Future platform versions should include environmental justice criteria to prevent this failure mode.</w:t>
      </w:r>
    </w:p>
    <w:p>
      <w:pPr>
        <w:pStyle w:val="Heading1"/>
        <w:spacing w:after="240" w:before="480"/>
      </w:pPr>
      <w:r>
        <w:rPr>
          <w:rFonts w:ascii="Arial" w:cs="Arial" w:eastAsia="Arial" w:hAnsi="Arial"/>
          <w:b/>
          <w:bCs/>
          <w:color w:val="1F4E78"/>
          <w:sz w:val="36"/>
          <w:szCs w:val="36"/>
        </w:rPr>
        <w:t>Open Questions</w:t>
      </w:r>
    </w:p>
    <w:p>
      <w:pPr>
        <w:spacing w:after="240" w:line="340"/>
        <w:jc w:val="both"/>
      </w:pPr>
      <w:r>
        <w:rPr>
          <w:rFonts w:ascii="Georgia" w:cs="Georgia" w:eastAsia="Georgia" w:hAnsi="Georgia"/>
          <w:color w:val="1A1A1A"/>
          <w:sz w:val="24"/>
          <w:szCs w:val="24"/>
        </w:rPr>
        <w:t>Should future platform versions add carbon pricing? Direction A outlines this option; the platform's current commitments do not include it; explicit commitment would substantially expand the platform's scope and political ambition.</w:t>
      </w:r>
    </w:p>
    <w:p>
      <w:pPr>
        <w:spacing w:after="240" w:line="340"/>
        <w:jc w:val="both"/>
      </w:pPr>
      <w:r>
        <w:rPr>
          <w:rFonts w:ascii="Georgia" w:cs="Georgia" w:eastAsia="Georgia" w:hAnsi="Georgia"/>
          <w:color w:val="1A1A1A"/>
          <w:sz w:val="24"/>
          <w:szCs w:val="24"/>
        </w:rPr>
        <w:t>Should the Sovereign Fund have an explicit climate investment policy? Fossil fuel divestment, ESG integration, and climate transition risk management are all design choices the platform has not specified.</w:t>
      </w:r>
    </w:p>
    <w:p>
      <w:pPr>
        <w:spacing w:after="240" w:line="340"/>
        <w:jc w:val="both"/>
      </w:pPr>
      <w:r>
        <w:rPr>
          <w:rFonts w:ascii="Georgia" w:cs="Georgia" w:eastAsia="Georgia" w:hAnsi="Georgia"/>
          <w:color w:val="1A1A1A"/>
          <w:sz w:val="24"/>
          <w:szCs w:val="24"/>
        </w:rPr>
        <w:t>Should environmental justice criteria be integrated into Civic Infrastructure investment? Direction B outlines this option; it is a relatively low-cost addition with substantial benefit potential.</w:t>
      </w:r>
    </w:p>
    <w:p>
      <w:pPr>
        <w:spacing w:after="240" w:line="340"/>
        <w:jc w:val="both"/>
      </w:pPr>
      <w:r>
        <w:rPr>
          <w:rFonts w:ascii="Georgia" w:cs="Georgia" w:eastAsia="Georgia" w:hAnsi="Georgia"/>
          <w:color w:val="1A1A1A"/>
          <w:sz w:val="24"/>
          <w:szCs w:val="24"/>
        </w:rPr>
        <w:t>Should climate adaptation be specified as a Civic Infrastructure component? Direction C outlines this option; the fiscal scale is substantial but within Sovereign Fund capacity.</w:t>
      </w:r>
    </w:p>
    <w:p>
      <w:pPr>
        <w:spacing w:after="240" w:line="340"/>
        <w:jc w:val="both"/>
      </w:pPr>
      <w:r>
        <w:rPr>
          <w:rFonts w:ascii="Georgia" w:cs="Georgia" w:eastAsia="Georgia" w:hAnsi="Georgia"/>
          <w:color w:val="1A1A1A"/>
          <w:sz w:val="24"/>
          <w:szCs w:val="24"/>
        </w:rPr>
        <w:t>Should the platform commit to fossil fuel subsidy reform? This is a small fiscal item but politically significant; the platform's existing fiscal architecture could absorb this commitment.</w:t>
      </w:r>
    </w:p>
    <w:p>
      <w:pPr>
        <w:spacing w:after="240" w:line="340"/>
        <w:jc w:val="both"/>
      </w:pPr>
      <w:r>
        <w:rPr>
          <w:rFonts w:ascii="Georgia" w:cs="Georgia" w:eastAsia="Georgia" w:hAnsi="Georgia"/>
          <w:color w:val="1A1A1A"/>
          <w:sz w:val="24"/>
          <w:szCs w:val="24"/>
        </w:rPr>
        <w:t>How does the platform interact with the Inflation Reduction Act's specific provisions over time? The IRA includes provisions with sunset dates and provisions subject to periodic adjustment; the platform's relationship to these specific provisions has not been worked out.</w:t>
      </w:r>
    </w:p>
    <w:p>
      <w:pPr>
        <w:spacing w:after="240" w:line="340"/>
        <w:jc w:val="both"/>
      </w:pPr>
      <w:r>
        <w:rPr>
          <w:rFonts w:ascii="Georgia" w:cs="Georgia" w:eastAsia="Georgia" w:hAnsi="Georgia"/>
          <w:color w:val="1A1A1A"/>
          <w:sz w:val="24"/>
          <w:szCs w:val="24"/>
        </w:rPr>
        <w:t>How does the platform's Civic Infrastructure investment specifically incorporate climate adaptation needs? The current pillar describes physical infrastructure investment broadly without specifying adaptation criteria.</w:t>
      </w:r>
    </w:p>
    <w:p>
      <w:pPr>
        <w:spacing w:after="240" w:line="340"/>
        <w:jc w:val="both"/>
      </w:pPr>
      <w:r>
        <w:rPr>
          <w:rFonts w:ascii="Georgia" w:cs="Georgia" w:eastAsia="Georgia" w:hAnsi="Georgia"/>
          <w:color w:val="1A1A1A"/>
          <w:sz w:val="24"/>
          <w:szCs w:val="24"/>
        </w:rPr>
        <w:t>How does federal climate policy interact with the federal-state cooperation framework? Climate policy spans federal, state, and local jurisdiction in complex ways; the v2.14 cooperation analysis applies but climate-specific dynamics require additional analysis.</w:t>
      </w:r>
    </w:p>
    <w:p>
      <w:pPr>
        <w:spacing w:after="240" w:line="340"/>
        <w:jc w:val="both"/>
      </w:pPr>
      <w:r>
        <w:rPr>
          <w:rFonts w:ascii="Georgia" w:cs="Georgia" w:eastAsia="Georgia" w:hAnsi="Georgia"/>
          <w:color w:val="1A1A1A"/>
          <w:sz w:val="24"/>
          <w:szCs w:val="24"/>
        </w:rPr>
        <w:t>Should the platform engage agricultural climate policy substantively? The political case is contested but the emissions impact is substantial.</w:t>
      </w:r>
    </w:p>
    <w:p>
      <w:pPr>
        <w:spacing w:after="240" w:line="340"/>
        <w:jc w:val="both"/>
      </w:pPr>
      <w:r>
        <w:rPr>
          <w:rFonts w:ascii="Georgia" w:cs="Georgia" w:eastAsia="Georgia" w:hAnsi="Georgia"/>
          <w:color w:val="1A1A1A"/>
          <w:sz w:val="24"/>
          <w:szCs w:val="24"/>
        </w:rPr>
        <w:t>How does the platform interact with international climate frameworks (Paris Agreement obligations, climate diplomacy, climate finance for developing countries)? The platform is domestic-focused but US climate action has international implications.</w:t>
      </w:r>
    </w:p>
    <w:p>
      <w:pPr>
        <w:pStyle w:val="Heading1"/>
        <w:spacing w:after="240" w:before="480"/>
      </w:pPr>
      <w:r>
        <w:rPr>
          <w:rFonts w:ascii="Arial" w:cs="Arial" w:eastAsia="Arial" w:hAnsi="Arial"/>
          <w:b/>
          <w:bCs/>
          <w:color w:val="1F4E78"/>
          <w:sz w:val="36"/>
          <w:szCs w:val="36"/>
        </w:rPr>
        <w:t>Closing</w:t>
      </w:r>
    </w:p>
    <w:p>
      <w:pPr>
        <w:spacing w:after="240" w:line="340"/>
        <w:jc w:val="both"/>
      </w:pPr>
      <w:r>
        <w:rPr>
          <w:rFonts w:ascii="Georgia" w:cs="Georgia" w:eastAsia="Georgia" w:hAnsi="Georgia"/>
          <w:color w:val="1A1A1A"/>
          <w:sz w:val="24"/>
          <w:szCs w:val="24"/>
        </w:rPr>
        <w:t>Climate policy is the platform's largest scope omission. The Civic Infrastructure pillar's grid modernization commitment addresses one important enabling element of climate policy; broader climate policy (carbon pricing, fossil fuel subsidy reform, environmental justice, climate adaptation, agricultural emissions, building efficiency) is not currently addressed. This is an honest scope choice rather than a substantive policy disagreement; future platform versions could integrate climate policy without contradicting any current platform commitment.</w:t>
      </w:r>
    </w:p>
    <w:p>
      <w:pPr>
        <w:spacing w:after="240" w:line="340"/>
        <w:jc w:val="both"/>
      </w:pPr>
      <w:r>
        <w:rPr>
          <w:rFonts w:ascii="Georgia" w:cs="Georgia" w:eastAsia="Georgia" w:hAnsi="Georgia"/>
          <w:color w:val="1A1A1A"/>
          <w:sz w:val="24"/>
          <w:szCs w:val="24"/>
        </w:rPr>
        <w:t>The most consequential design directions for future platform climate integration are: carbon pricing as Sovereign Fund revenue source (Direction A) — high-impact but politically demanding; environmental justice integration with Civic Infrastructure (Direction B) — moderate-impact and relatively low-cost; climate adaptation as Civic Infrastructure component (Direction C) — high-impact and politically less contested than mitigation. Future versions could pursue any combination of these directions; the platform's architecture leaves room for substantial expansion without requiring fundamental redesign.</w:t>
      </w:r>
    </w:p>
    <w:p>
      <w:pPr>
        <w:spacing w:after="240" w:line="340"/>
        <w:jc w:val="both"/>
      </w:pPr>
      <w:r>
        <w:rPr>
          <w:rFonts w:ascii="Georgia" w:cs="Georgia" w:eastAsia="Georgia" w:hAnsi="Georgia"/>
          <w:color w:val="1A1A1A"/>
          <w:sz w:val="24"/>
          <w:szCs w:val="24"/>
        </w:rPr>
        <w:t>The platform's communications should acknowledge the climate policy scope choice explicitly. Climate-engaged constituencies evaluating the platform deserve honest acknowledgment that the platform's central commitments do not include comprehensive climate policy and that future versions are intended to address climate policy more substantively. Generic platform communications focused on social investment will not address climate-engaged audiences adequately; specific climate-context communications are needed. This is implementation work that has not been done.</w:t>
      </w:r>
    </w:p>
    <w:p>
      <w:pPr>
        <w:spacing w:after="240" w:line="340"/>
        <w:jc w:val="both"/>
      </w:pPr>
      <w:r>
        <w:rPr>
          <w:rFonts w:ascii="Georgia" w:cs="Georgia" w:eastAsia="Georgia" w:hAnsi="Georgia"/>
          <w:color w:val="1A1A1A"/>
          <w:sz w:val="24"/>
          <w:szCs w:val="24"/>
        </w:rPr>
        <w:t>The Sovereign Fund's climate transition exposure should be addressed in the Sovereign Fund's investment policy regardless of the platform's broader climate policy choices. A Sovereign Fund without climate-aware investment policy faces real financial risk; this is not a climate policy choice as much as a financial prudence consideration. The platform's existing Sovereign Fund analytical documents should be expanded to address climate transition exposure in subsequent versions.</w:t>
      </w:r>
    </w:p>
    <w:sectPr>
      <w:headerReference w:type="default" r:id="rId7"/>
      <w:footerReference w:type="default" r:id="rId8"/>
      <w:pgSz w:w="12240" w:h="15840" w:orient="portrait"/>
      <w:pgMar w:top="1620" w:right="1440" w:bottom="162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bl>
    <w:tblPr>
      <w:tblW w:type="dxa" w:w="9000"/>
      <w:tblBorders>
        <w:top w:val="none"/>
        <w:left w:val="none"/>
        <w:bottom w:val="none"/>
        <w:right w:val="none"/>
        <w:insideH w:val="none"/>
        <w:insideV w:val="none"/>
      </w:tblBorders>
    </w:tblPr>
    <w:tblGrid>
      <w:gridCol w:w="3000"/>
      <w:gridCol w:w="3000"/>
      <w:gridCol w:w="3000"/>
    </w:tblGrid>
    <w:tr>
      <w:tc>
        <w:tcPr>
          <w:tcW w:type="dxa" w:w="3000"/>
          <w:tcBorders>
            <w:top w:val="none"/>
            <w:left w:val="none"/>
            <w:bottom w:val="none"/>
            <w:right w:val="none"/>
          </w:tcBorders>
        </w:tcPr>
        <w:p>
          <w:pPr>
            <w:jc w:val="left"/>
          </w:pPr>
          <w:r>
            <w:rPr>
              <w:rFonts w:ascii="Arial" w:cs="Arial" w:eastAsia="Arial" w:hAnsi="Arial"/>
              <w:color w:val="595959"/>
              <w:sz w:val="16"/>
              <w:szCs w:val="16"/>
            </w:rPr>
            <w:t xml:space="preserve">Per-Citizen Benefits and Costs · v1.0</w:t>
          </w:r>
        </w:p>
      </w:tc>
      <w:tc>
        <w:tcPr>
          <w:tcW w:type="dxa" w:w="3000"/>
          <w:tcBorders>
            <w:top w:val="none"/>
            <w:left w:val="none"/>
            <w:bottom w:val="none"/>
            <w:right w:val="none"/>
          </w:tcBorders>
        </w:tcPr>
        <w:p>
          <w:pPr>
            <w:jc w:val="center"/>
          </w:pPr>
          <w:r>
            <w:rPr>
              <w:rFonts w:ascii="Arial" w:cs="Arial" w:eastAsia="Arial" w:hAnsi="Arial"/>
              <w:color w:val="595959"/>
              <w:sz w:val="16"/>
              <w:szCs w:val="16"/>
            </w:rPr>
            <w:t xml:space="preserve">Page </w:t>
          </w:r>
          <w:r>
            <w:rPr>
              <w:rFonts w:ascii="Arial" w:cs="Arial" w:eastAsia="Arial" w:hAnsi="Arial"/>
              <w:color w:val="595959"/>
              <w:sz w:val="16"/>
              <w:szCs w:val="16"/>
            </w:rPr>
            <w:fldChar w:fldCharType="begin"/>
            <w:instrText xml:space="preserve">PAGE</w:instrText>
            <w:fldChar w:fldCharType="separate"/>
            <w:fldChar w:fldCharType="end"/>
          </w:r>
        </w:p>
      </w:tc>
      <w:tc>
        <w:tcPr>
          <w:tcW w:type="dxa" w:w="3000"/>
          <w:tcBorders>
            <w:top w:val="none"/>
            <w:left w:val="none"/>
            <w:bottom w:val="none"/>
            <w:right w:val="none"/>
          </w:tcBorders>
        </w:tcPr>
        <w:p>
          <w:pPr>
            <w:jc w:val="right"/>
          </w:pPr>
          <w:r>
            <w:rPr>
              <w:rFonts w:ascii="Arial" w:cs="Arial" w:eastAsia="Arial" w:hAnsi="Arial"/>
              <w:color w:val="595959"/>
              <w:sz w:val="16"/>
              <w:szCs w:val="16"/>
            </w:rPr>
            <w:t xml:space="preserve">Updated May 4, 2026</w:t>
          </w:r>
        </w:p>
      </w:tc>
    </w:tr>
  </w:tbl>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1F4E78" w:sz="4" w:space="4"/>
      </w:pBdr>
      <w:jc w:val="right"/>
    </w:pPr>
    <w:r>
      <w:rPr>
        <w:rFonts w:ascii="Arial" w:cs="Arial" w:eastAsia="Arial" w:hAnsi="Arial"/>
        <w:i/>
        <w:iCs/>
        <w:color w:val="595959"/>
        <w:sz w:val="18"/>
        <w:szCs w:val="18"/>
      </w:rPr>
      <w:t xml:space="preserve">Per-Citizen Benefits and Costs Across the Deployment Timeline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Georgia" w:cs="Georgia" w:eastAsia="Georgia" w:hAnsi="Georgia"/>
        <w:color w:val="1A1A1A"/>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Per-Citizen Benefits and Costs Across the Deployment Timeline</dc:title>
  <dc:creator>Jason Robertson</dc:creator>
  <cp:lastModifiedBy>Un-named</cp:lastModifiedBy>
  <cp:revision>1</cp:revision>
  <dcterms:created xsi:type="dcterms:W3CDTF">2026-05-05T01:39:08.188Z</dcterms:created>
  <dcterms:modified xsi:type="dcterms:W3CDTF">2026-05-05T01:39:08.207Z</dcterms:modified>
</cp:coreProperties>
</file>

<file path=docProps/custom.xml><?xml version="1.0" encoding="utf-8"?>
<Properties xmlns="http://schemas.openxmlformats.org/officeDocument/2006/custom-properties" xmlns:vt="http://schemas.openxmlformats.org/officeDocument/2006/docPropsVTypes"/>
</file>