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Architectural Intent Mitigations: PERSONA-MIN-14 Through PERSONA-MIN-24</w:t>
      </w:r>
    </w:p>
    <w:p>
      <w:r>
        <w:t>Eleven Architectural-Intent-Level Findings Across Healthcare Operations, Constitutional Review, State-Level Implementation, and Sovereign Fund Investment Operations</w:t>
      </w:r>
    </w:p>
    <w:p>
      <w:r>
        <w:t>v1.0  ·  Created May 7, 2026 for v3.2.1 (mitigation of the eleven OPEN/N PERSONA-MIN findings remaining after v3.1.6's concentrated mitigation sweep; analogous in pattern to the v3.1.10 Self-Employed and Gig Worker Implementation document which addressed PERSONA-MIN-25/26/27)  ·  Jason Robertson  ·  Ohio  ·  2026</w:t>
      </w:r>
    </w:p>
    <w:p>
      <w:pPr>
        <w:pStyle w:val="Heading1"/>
      </w:pPr>
      <w:r>
        <w:t>Purpose And Scope</w:t>
      </w:r>
    </w:p>
    <w:p>
      <w:r>
        <w:t>This document mitigates PERSONA-MIN-14 through PERSONA-MIN-24 at architectural-intent level. The eleven items were surfaced through persona-driven stress testing (P7 healthcare provider, P8 constitutional law scholar, P9 state policy official, P10 investment manager) and remained OPEN/N after the concentrated v3.1.6 PERSONA-MIN mitigation sweep. v3.1.6 closed sixteen of the original twenty-seven PERSONA-MIN findings; this document closes the remaining eleven.</w:t>
      </w:r>
    </w:p>
    <w:p>
      <w:r>
        <w:t>Architectural-intent treatment means establishing the platform's position on each gap at sufficient detail for the platform to be internally coherent and externally communicable, without specifying full implementation detail (which would require credentialed expertise the lead author defers to). For each item, this document states the gap, articulates the platform's architectural intent, and identifies what would require subsequent detailed work. The treatment is parallel to v3.1.10's Self-Employed and Gig Worker Implementation document, which addressed three operational findings at the same level.</w:t>
      </w:r>
    </w:p>
    <w:p>
      <w:r>
        <w:t>After this document, all original twenty-seven PERSONA-MIN findings are mitigated. The remaining OPEN items in Section 47 are the eleven OPEN external-expertise items (RESEARCH-1 through RESEARCH-6, PROCESS-3, ITEM79-Q3, PERSONA-SIG-3/4/5) which by definition require external participants the platform cannot supply through internal iteration.</w:t>
      </w:r>
    </w:p>
    <w:p>
      <w:pPr>
        <w:pStyle w:val="Heading1"/>
      </w:pPr>
      <w:r>
        <w:t>Healthcare Operations: PERSONA-MIN-14 Through 16</w:t>
      </w:r>
    </w:p>
    <w:p>
      <w:pPr>
        <w:pStyle w:val="Heading2"/>
      </w:pPr>
      <w:r>
        <w:t>PERSONA-MIN-14: EHR integration path</w:t>
      </w:r>
    </w:p>
    <w:p>
      <w:r>
        <w:t>Gap. The healthcare architecture documents the universal-access framework and cost-reduction decomposition but does not specify how electronic health record systems integrate with the federal payment infrastructure. P7 (healthcare provider persona) flagged this as an operational concern: providers cannot adopt the program without knowing how their existing EHR (Electronic Health Record) systems interface with federal eligibility verification, claims submission, and payment processing.</w:t>
      </w:r>
    </w:p>
    <w:p>
      <w:r>
        <w:t>Architectural intent. EHR integration follows existing federal interoperability infrastructure rather than building a parallel system. The 21st Century Cures Act (2016) established interoperability requirements; the ONC (Office of the National Coordinator for Health Information Technology) certification program defines API specifications; the FHIR (Fast Healthcare Interoperability Resources) standard provides the technical interoperability layer. The platform's universal healthcare commitment uses these existing standards as the integration substrate. Providers whose EHR systems are already ONC-certified for FHIR R4 (or successor versions current at deployment) integrate without additional system changes; non-certified EHR systems migrate to certified versions during the transition window with federal transition assistance available through existing CMS (Centers for Medicare and Medicaid Services) payment-incentive mechanisms (parallel in structure to the original Meaningful Use program that drove EHR adoption).</w:t>
      </w:r>
    </w:p>
    <w:p>
      <w:r>
        <w:t>What requires subsequent detailed work. The specific federal payment-claim API specifications (analogous to the existing X12 837 claim submission standard) are CMS rule-making work post-enactment. The detailed transition timeline by EHR vendor (since some vendors will need substantial system changes while others will need minimal changes) requires vendor-by-vendor analysis. The integration testing protocols and provider-onboarding sequences are operational implementation work.</w:t>
      </w:r>
    </w:p>
    <w:p>
      <w:pPr>
        <w:pStyle w:val="Heading2"/>
      </w:pPr>
      <w:r>
        <w:t>PERSONA-MIN-15: Specialty referral process</w:t>
      </w:r>
    </w:p>
    <w:p>
      <w:r>
        <w:t>Gap. The What This Means For You document describes universal healthcare access at the patient-experience level but does not specify how specialty referrals work: gatekeeper-vs-direct-access, utilization management protocols, network-restriction handling. P7 flagged this as a clinical workflow concern.</w:t>
      </w:r>
    </w:p>
    <w:p>
      <w:r>
        <w:t>Architectural intent. The platform's referral architecture is direct access for primary care, emergency care, and mental health services; gatekeeper referral for specialty care following existing managed-care patterns. Direct-access categories cover patient choice without referral requirement (any participating provider in the patient's geographic area). Specialty-care gatekeeper referral routes through primary care to ensure continuity-of-care and to apply utilization management for high-cost interventions. Network-restriction handling follows the existing Medicare-style approach: any participating provider is in network nationally; no narrow-network restrictions; out-of-network access for emergencies covered without prior authorization. Appeal process for denied referrals or denied authorizations follows the Medicare Advantage appeal structure (peer-to-peer review, then independent review, then administrative law judge, then federal court).</w:t>
      </w:r>
    </w:p>
    <w:p>
      <w:r>
        <w:t>What requires subsequent detailed work. The specific list of direct-access specialty categories beyond primary, emergency, and mental health (potentially ophthalmology, dermatology, OB/GYN, behavioral health within mental health) requires clinical-policy expertise. The utilization management protocols (which procedures require prior authorization, at what thresholds, with what evidence base) require health-services research expertise. The appeal-process timeline standards (how quickly each appeal level must respond) require operational specification.</w:t>
      </w:r>
    </w:p>
    <w:p>
      <w:pPr>
        <w:pStyle w:val="Heading2"/>
      </w:pPr>
      <w:r>
        <w:t>PERSONA-MIN-16: Malpractice and liability treatment</w:t>
      </w:r>
    </w:p>
    <w:p>
      <w:r>
        <w:t>Gap. The healthcare architecture does not address medical malpractice and provider liability. P7 flagged this as a major provider-experience and provider-economics consideration absent from the platform.</w:t>
      </w:r>
    </w:p>
    <w:p>
      <w:r>
        <w:t>Architectural intent. Medical malpractice remains state-law domain. The platform does not include federal malpractice reform as a component. Existing state tort frameworks govern malpractice claims; existing state insurance markets supply malpractice coverage; existing state liability caps (where they exist) remain in force. The platform's healthcare cost-reduction trajectory accounts for the current malpractice insurance environment as a baseline cost; if federal or state malpractice reform happens separately and reduces malpractice insurance costs, that creates additional headroom for cost reduction beyond the platform's projected trajectory but is not depended upon for trajectory achievement. Provider liability for participating in the federal payment system follows existing patterns: providers retain professional liability for clinical decisions; federal payment system liability is limited to payment-processing obligations under federal contract law.</w:t>
      </w:r>
    </w:p>
    <w:p>
      <w:r>
        <w:t>What requires subsequent detailed work. State-by-state malpractice environment analysis (which states have caps, which have alternative dispute resolution, what the current premium environment is) requires legal and insurance research. Whether the platform should advocate for separate federal malpractice reform as a complementary commitment is a policy choice the lead author has not yet made and is documented as an open question rather than committed direction.</w:t>
      </w:r>
    </w:p>
    <w:p>
      <w:pPr>
        <w:pStyle w:val="Heading1"/>
      </w:pPr>
      <w:r>
        <w:t>Constitutional Review: PERSONA-MIN-17 Through 19</w:t>
      </w:r>
    </w:p>
    <w:p>
      <w:pPr>
        <w:pStyle w:val="Heading2"/>
      </w:pPr>
      <w:r>
        <w:t>PERSONA-MIN-17: Commerce clause analysis for the Federal Infrastructure Fee</w:t>
      </w:r>
    </w:p>
    <w:p>
      <w:r>
        <w:t>Gap. The Federal Infrastructure Fee (FIF) document describes the regulatory architecture and pass-through-prevention mechanism but does not articulate the commerce-clause foundation explicitly. P8 (constitutional law scholar persona) flagged this as a constitutional-foundation gap.</w:t>
      </w:r>
    </w:p>
    <w:p>
      <w:r>
        <w:t>Architectural intent. FIF is a federal regulatory fee imposed on interstate telecommunications carriers operating in interstate commerce, well within established commerce-clause authority. Telecommunications has been recognized as interstate commerce since the Communications Act of 1934 (and Mann v. Illinois precursors); the Telecommunications Act of 1996 explicitly federalizes regulatory authority over interstate telecommunications; the existing Universal Service Fund (USF) operates under the same commerce-clause foundation FIF would use. FIF is structurally parallel to USF: both are federal regulatory fees on interstate telecommunications carriers funding national-scope telecommunications policy objectives. The commerce-clause analysis for FIF therefore reduces to the commerce-clause analysis for USF, which has been litigated and upheld (Texas Office of Public Utility Counsel v. FCC (Federal Communications Commission), 5th Circuit 1999, holding USF constitutional under commerce clause).</w:t>
      </w:r>
    </w:p>
    <w:p>
      <w:r>
        <w:t>What requires subsequent detailed work. The specific brief-style commerce-clause analysis with citations and current case law is constitutional-law-clinic work at depth appropriate for litigation defense (rather than the foundational sufficiency this document provides). Whether any specific elements of FIF differ from USF in ways that create new commerce-clause vulnerabilities (e.g., the broadband-build commitment versus USF's high-cost-area subsidy structure) requires constitutional-law expert review. PERSONA-SIG-4 already tracks the broader direct-tax-clause analysis; this item is the specific commerce-clause depth gap.</w:t>
      </w:r>
    </w:p>
    <w:p>
      <w:pPr>
        <w:pStyle w:val="Heading2"/>
      </w:pPr>
      <w:r>
        <w:t>PERSONA-MIN-18: Takings clause analysis for stranded-asset acquisition</w:t>
      </w:r>
    </w:p>
    <w:p>
      <w:r>
        <w:t>Gap. The FIF Transition Mechanics section addresses stranded-asset treatment for incumbent carriers whose existing infrastructure investments are made obsolete by the federal broadband commitment. The treatment establishes a stranded-asset acquisition mechanism but does not address Fifth Amendment takings-clause analysis for that mechanism. P8 flagged this as a constitutional gap.</w:t>
      </w:r>
    </w:p>
    <w:p>
      <w:r>
        <w:t>Architectural intent. Any acquisition mechanism that transfers private property to public use is governed by the Fifth Amendment takings clause and requires just compensation. The stranded-asset acquisition mechanism follows established eminent-domain procedures: federal authority to acquire is grounded in commerce-clause authority over telecommunications infrastructure; just compensation is determined using fair-market-value standard with utility-asset-specific methodologies (regulated-utility ratebase valuation, replacement-cost-new-less-depreciation, or income-stream-based valuation depending on asset category); compensation is paid before or contemporaneously with acquisition; affected carriers retain the right to challenge valuation through the existing Court of Federal Claims process. The mechanism is structurally parallel to existing federal eminent-domain practice for utility infrastructure (e.g., Bonneville Power Administration acquisitions).</w:t>
      </w:r>
    </w:p>
    <w:p>
      <w:r>
        <w:t>What requires subsequent detailed work. The specific valuation methodology by asset category (which combination of methodologies applies to fiber assets, copper assets, wireless spectrum, equipment, real property) requires utility-valuation expertise. The procedural specifications (notice requirements, appraisal protocols, negotiation timelines, judicial review) require eminent-domain procedure expertise. The interaction with existing FCC stranded-cost recovery mechanisms (where some utilities have already received partial recovery) requires regulatory-history analysis.</w:t>
      </w:r>
    </w:p>
    <w:p>
      <w:pPr>
        <w:pStyle w:val="Heading2"/>
      </w:pPr>
      <w:r>
        <w:t>PERSONA-MIN-19: Federalism preemption analysis</w:t>
      </w:r>
    </w:p>
    <w:p>
      <w:r>
        <w:t>Gap. The platform interacts with state authority across multiple components (healthcare, education, telecommunications, paid family time, sovereign fund tax architecture) but does not articulate which preemption doctrine applies to each interaction. P8 flagged this as a federalism-doctrine gap making the platform's federal-state interaction posture implicit rather than explicit.</w:t>
      </w:r>
    </w:p>
    <w:p>
      <w:r>
        <w:t>Architectural intent. Preemption posture varies by component, drawing on the platform's broader federalism orientation: the federal commitment establishes a floor preserving state experimentation above the floor where the program admits floor-and-supplement structure, and uses cooperative-federalism implementation where state administrative capacity is substantial. Specifically: the Federal Infrastructure Fee uses express preemption of conflicting state telecommunications fees within the FIF scope (preventing duplicative state fees on the same revenue base) while preserving state authority over intrastate telecommunications regulation; Pillar Eight (Universal Paid Family Time) uses conflict preemption only where state law would prevent federal-floor benefit delivery, with state programs operating above the federal floor preserved; universal healthcare uses cooperative federalism with state Medicaid administration converted to federal-program administration over a transition window; education funding uses cooperative federalism preserving state and local primary authority over curriculum and pedagogy while providing federal funding through state channels; the Sovereign Fund's tax architecture uses standard federal-tax preemption of conflicting state taxation of the same items consistent with existing federal income tax preemption patterns.</w:t>
      </w:r>
    </w:p>
    <w:p>
      <w:r>
        <w:t>What requires subsequent detailed work. The specific preemption-doctrine analysis per component with case-law citation is constitutional-law-clinic work. The specific savings clauses (which existing state laws explicitly survive) require comprehensive state-law inventory by component. The specific federal-state coordination mechanisms in cooperative-federalism components (which body coordinates implementation, with what authority, through what mechanism) require subsequent operational design.</w:t>
      </w:r>
    </w:p>
    <w:p>
      <w:pPr>
        <w:pStyle w:val="Heading1"/>
      </w:pPr>
      <w:r>
        <w:t>State-Level Implementation: PERSONA-MIN-20 Through 22</w:t>
      </w:r>
    </w:p>
    <w:p>
      <w:pPr>
        <w:pStyle w:val="Heading2"/>
      </w:pPr>
      <w:r>
        <w:t>PERSONA-MIN-20: State fiscal impact specificity</w:t>
      </w:r>
    </w:p>
    <w:p>
      <w:r>
        <w:t>Gap. The Federal Fiscal Impact Analysis quantifies federal-level fiscal impact but does not provide state-by-state fiscal impact. P9 (state policy official persona) flagged this as a major gap because state fiscal impact is what state legislatures and governors will evaluate when deciding whether to support federal legislation.</w:t>
      </w:r>
    </w:p>
    <w:p>
      <w:r>
        <w:t>Architectural intent. The platform's state fiscal impact varies substantially by state and by component. At architectural-intent level: states with above-average Medicaid spending see the largest reduction in state fiscal pressure as universal healthcare absorbs the state Medicaid share over the transition window (states with expanded Medicaid see larger reductions; states without expansion see smaller reductions). States with above-average K-12 education spending see modest state fiscal pressure reduction as the Sovereign Education Fund supplements rather than replaces state education funding. States with existing paid family leave programs (CA, NJ, NY, WA, MA, CT, OR, CO, MD, DE+) see partial reduction in state-program funding pressure as the federal floor covers part of what state programs currently fund; the reduction is partial because state programs typically provide benefits exceeding the federal floor. States with above-average state income tax collections see complex interaction with the platform's federal tax architecture: federal wage floor exemptions interact with state piggyback provisions (states that conform to federal AGI see automatic state tax base reduction; states with independent tax bases see no automatic effect). States with broadband-deployment gaps see infrastructure investment flow that exceeds state contributions. Overall state-level fiscal impact is net-positive for most states; the magnitude varies materially.</w:t>
      </w:r>
    </w:p>
    <w:p>
      <w:r>
        <w:t>What requires subsequent detailed work. State-by-state quantitative analysis using state-specific data (state Medicaid match rates, state education spending levels, state income tax conformity status, state-program existence and benefit levels) is the next-iteration deliverable but requires state-specific data inputs the FFIA does not currently incorporate. PERSONA-MIN-20 closure at architectural-intent level acknowledges the variability and identifies the variables that drive it; full quantitative state-by-state analysis is detailed work requiring state-fiscal-policy expertise.</w:t>
      </w:r>
    </w:p>
    <w:p>
      <w:pPr>
        <w:pStyle w:val="Heading2"/>
      </w:pPr>
      <w:r>
        <w:t>PERSONA-MIN-21: State implementation timeline</w:t>
      </w:r>
    </w:p>
    <w:p>
      <w:r>
        <w:t>Gap. The FIF Transition Mechanics section describes federal-side transition timeline but treats state-side implementation as compressed or implicit. P9 flagged this as a state-administrative-capacity gap: state implementation requires state-employee training, state-IT updates, state-statute changes, and state-budget impact, none of which can be compressed.</w:t>
      </w:r>
    </w:p>
    <w:p>
      <w:r>
        <w:t>Architectural intent. State-side implementation runs in parallel with federal-side implementation rather than sequentially after, with federal transition assistance available throughout. State employees affected by program changes (state Medicaid administrators, state telecommunications regulators, state child welfare administrators) receive role-transition assistance through federal grants modeled on existing federal-state workforce transition programs. State IT system updates are funded through a federal-state grant program parallel in structure to the American Rescue Plan Act technology grants, available to states for the duration of the transition window with simplified application and expedited review. State statute updates require state legislative action; the platform's federal legislation includes a state-action incentive funding mechanism (federal funds disbursed to states that pass enabling state legislation within a defined window) modeled on existing federal-state cooperation incentives. State budget impact during the transition window is supplemented by federal hold-harmless provisions ensuring no state experiences net fiscal contraction in any year of the transition due to platform implementation.</w:t>
      </w:r>
    </w:p>
    <w:p>
      <w:r>
        <w:t>What requires subsequent detailed work. The specific state-action incentive funding amounts and disbursement schedule require fiscal modeling. The specific hold-harmless calculation methodology (which baseline, with what adjustments) requires intergovernmental-finance expertise. The state employee transition program structure (which roles qualify, what assistance is available, with what limitations) requires workforce-policy design. The interaction with existing state administrative codes and procedural law (which existing state procedures must be modified to accommodate federal program operation) requires state-by-state legal review.</w:t>
      </w:r>
    </w:p>
    <w:p>
      <w:pPr>
        <w:pStyle w:val="Heading2"/>
      </w:pPr>
      <w:r>
        <w:t>PERSONA-MIN-22: Federal-state data-sharing mechanisms</w:t>
      </w:r>
    </w:p>
    <w:p>
      <w:r>
        <w:t>Gap. The platform requires extensive federal-state data sharing (eligibility verification across programs, healthcare data integration, tax data coordination, broadband deployment tracking) but does not specify the data-sharing mechanisms. P9 flagged this as an operational-capacity gap.</w:t>
      </w:r>
    </w:p>
    <w:p>
      <w:r>
        <w:t>Architectural intent. Federal-state data sharing follows existing federal-state data-sharing models rather than building parallel systems. Healthcare data follows HIPAA-compliant architecture using existing CMS-state Medicaid data exchange infrastructure as the substrate, extended to non-Medicaid populations during the transition window. Tax data sharing follows existing IRS-state tax agency protocols (the FTI, Federal Tax Information, framework already governs state access to federal tax data). Eligibility verification across programs (healthcare, education, paid family time) uses an extended version of the existing federal data services hub originally built for Affordable Care Act marketplace eligibility verification. Child welfare and family-status data sharing follows existing federal-state child support enforcement data exchange patterns. Broadband deployment tracking uses extended versions of existing FCC Form 477 reporting infrastructure with state participation. Data governance is through formal interagency agreements between federal program agencies and state counterparts, with privacy-officer roles at each level and joint-governance councils for cross-program coordination.</w:t>
      </w:r>
    </w:p>
    <w:p>
      <w:r>
        <w:t>What requires subsequent detailed work. The specific technical specifications for each data exchange (data fields, exchange frequency, security requirements, error-handling protocols) require IT-architecture expertise. The specific governance-agreement language requires intergovernmental-counsel work. The interaction with state data-privacy laws (some states have stricter privacy rules than HIPAA or federal tax-data rules require) needs state-by-state inventory.</w:t>
      </w:r>
    </w:p>
    <w:p>
      <w:pPr>
        <w:pStyle w:val="Heading1"/>
      </w:pPr>
      <w:r>
        <w:t>Sovereign Fund Investment Operations: PERSONA-MIN-23 And 24</w:t>
      </w:r>
    </w:p>
    <w:p>
      <w:pPr>
        <w:pStyle w:val="Heading2"/>
      </w:pPr>
      <w:r>
        <w:t>PERSONA-MIN-23: Market impact at scale</w:t>
      </w:r>
    </w:p>
    <w:p>
      <w:r>
        <w:t>Gap. The Sovereign Fund accumulates to $122 trillion at Year 60 in the base case scenario. At that scale, fund investment activity has material market-impact effects: transaction costs on position-building, execution costs at scale, potential price effects on assets the fund concentrates in. P10 (investment manager persona) flagged the market-impact-at-scale concern as absent from the platform.</w:t>
      </w:r>
    </w:p>
    <w:p>
      <w:r>
        <w:t>Architectural intent. The Sovereign Fund follows gradual position-building rather than rapid deployment. Annual contribution flows accumulate over the 60-year window; annual deployment matches annual contribution flow rather than building reserve cash positions for tactical timing. Asset allocation is diversified across asset classes (public equity, public fixed income, private equity, real assets including infrastructure, commodities for hedging) limiting single-market concentration. Within public markets, the fund uses index-replicating approaches consistent with passive-management practice at large institutional scale; this approach has substantially lower price-impact risk than active strategies because trades follow index-rebalancing flows rather than active-management decisions. Within private markets, participation is through co-investment with existing institutional investors rather than primary-deal-flow competition; this approach expands the fund's deal access without crowding out existing institutional investors. The fund's market-impact governance includes published deployment cadence, peer-reviewed deployment policy, and transparency standards modeled on the Norwegian Government Pension Fund Global's transparency commitments.</w:t>
      </w:r>
    </w:p>
    <w:p>
      <w:r>
        <w:t>What requires subsequent detailed work. The specific transaction-cost analysis at the deployment cadence projected (annualized turnover, market-impact estimates, execution-cost projections) requires investment-management expertise. The specific asset-class allocation targets and rebalancing rules require investment-policy specification. The specific co-investment partner criteria and deal-screening protocols require institutional-investment expertise. PERSONA-SIG-5 already tracks the broader investment policy framework specificity gap; this item is the specific market-impact subset.</w:t>
      </w:r>
    </w:p>
    <w:p>
      <w:pPr>
        <w:pStyle w:val="Heading2"/>
      </w:pPr>
      <w:r>
        <w:t>PERSONA-MIN-24: Pension fund interaction at asset-management level</w:t>
      </w:r>
    </w:p>
    <w:p>
      <w:r>
        <w:t>Gap. The Sovereign Fund is a new institutional investor entering markets where existing pension funds (state and local pension funds, multi-employer pension plans, university endowments, corporate pension plans) already operate. P10 flagged interaction effects between the new fund and existing institutional investors as absent from the platform.</w:t>
      </w:r>
    </w:p>
    <w:p>
      <w:r>
        <w:t>Architectural intent. Sovereign Fund interaction with existing pension fund institutions is complementary rather than competitive at architectural-intent level. Public-equity price effects from Sovereign Fund participation are mitigated by the index-replicating approach which makes the fund a price-taker rather than price-setter in most positions; existing pension funds that follow active strategies are unaffected by passive-strategy participation; existing pension funds that follow passive strategies see no relative competitive disadvantage because the same indexing approach treats all participants symmetrically. Private-market deal flow expands rather than contracts as fund scale increases: more fund capital looking for deployment increases the volume of transactions that come to market; existing pension funds gain more deal-flow opportunity rather than less because GPs (general partners in private equity, real estate, infrastructure funds) raise more funds and offer more co-investment opportunities to capital providers. The Sovereign Fund's co-investment posture explicitly invites existing pension fund participation in major transactions, structurally creating expansion rather than contraction. Existing pension funds that depend on active-management alpha could see compression of alpha opportunities if Sovereign Fund passive-management captures market-cap-weighted returns more efficiently; this effect is small at the fund's projected size relative to total US equity market capitalization but is a real competitive effect that should be monitored.</w:t>
      </w:r>
    </w:p>
    <w:p>
      <w:r>
        <w:t>What requires subsequent detailed work. The specific quantitative analysis of public-market price effects at projected Sovereign Fund scale relative to total market cap requires market-impact modeling. The specific private-market interaction analysis (how GP fund-raising changes when the Sovereign Fund participates as LP, how co-investment markets evolve) requires private-market-structure expertise. The interaction with state and local pension fund obligations (whether Sovereign Fund disbursements substitute for or supplement state pension promises) is a policy question separate from this asset-management-level question; it is documented in the broader Sovereign Fund interaction analysis.</w:t>
      </w:r>
    </w:p>
    <w:p>
      <w:pPr>
        <w:pStyle w:val="Heading1"/>
      </w:pPr>
      <w:r>
        <w:t>Closure Note</w:t>
      </w:r>
    </w:p>
    <w:p>
      <w:r>
        <w:t>After this document, all twenty-seven original PERSONA-MIN findings are mitigated (twenty-seven Y / zero N). Section 47 status moves from fifty-two Y / eleven N out of sixty-three to sixty-three Y / zero N out of sixty-three (assuming v3.2.0's Pillar Eight cost validation entry RESEARCH-8 is added in this iteration as well, which v3.2.1 also addresses). All remaining OPEN items are external-expertise items by definition (RESEARCH-1 through 6, RESEARCH-8 if added, PROCESS-3, ITEM79-Q3, PERSONA-SIG-3/4/5) and have engagement specifications documented in the External Engagement Plan.</w:t>
      </w:r>
    </w:p>
    <w:p>
      <w:r>
        <w:t>The platform's internal-mitigation discipline is now complete in the sense that every persona-driven finding has been mitigated to author satisfaction at architectural-intent level, every consistency finding has been resolved, every canonical decision has been made, every process improvement has been implemented. The remaining work is fundamentally external: credentialed reviews, commissioned audits, government-to-government consultations, paid expert engagements. The platform has reached the state where additional internal iteration produces diminishing returns relative to external engagement.</w:t>
      </w:r>
    </w:p>
    <w:p>
      <w:pPr>
        <w:pStyle w:val="Heading1"/>
      </w:pPr>
      <w:r>
        <w:t>Cross-References</w:t>
      </w:r>
    </w:p>
    <w:p>
      <w:r>
        <w:t>This document is the eleven-item architectural-intent mitigation companion to v3.1.10's three-item Self-Employed and Gig Worker Implementation document. The two documents together close the entire PERSONA-MIN backlog. Per-item architectural intent draws on existing platform documents: healthcare operations items reference the Healthcare Transition Detailed Plan and the What This Means For You document; constitutional items reference the Federal Infrastructure Fee Architecture document and the Federal Income Tax Revenue Modified Architecture document; state items reference the State Level Cooperation Requirements document and the Federal Fiscal Impact Analysis; investment items reference the Sovereign Fund Investment Architecture document and the broader Pillar One commitment in the master We The People Platform document. Subsequent detailed work for any item proceeds through the External Engagement Plan templates as appropriate.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