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pPr>
      <w:r>
        <w:t xml:space="preserve"/>
      </w:r>
    </w:p>
    <w:p>
      <w:pPr>
        <w:spacing w:after="100"/>
        <w:jc w:val="center"/>
      </w:pPr>
      <w:r>
        <w:rPr>
          <w:rFonts w:ascii="Arial" w:cs="Arial" w:eastAsia="Arial" w:hAnsi="Arial"/>
          <w:b/>
          <w:bCs/>
          <w:color w:val="1F4E78"/>
          <w:sz w:val="56"/>
          <w:szCs w:val="56"/>
        </w:rPr>
        <w:t xml:space="preserve">BUILT FOR WHAT'S COMING</w:t>
      </w:r>
    </w:p>
    <w:p>
      <w:pPr>
        <w:spacing w:after="200"/>
        <w:jc w:val="center"/>
      </w:pPr>
      <w:r>
        <w:rPr>
          <w:rFonts w:ascii="Arial" w:cs="Arial" w:eastAsia="Arial" w:hAnsi="Arial"/>
          <w:i/>
          <w:iCs/>
          <w:color w:val="C00000"/>
          <w:sz w:val="28"/>
          <w:szCs w:val="28"/>
        </w:rPr>
        <w:t xml:space="preserve">The Platform as AI Workforce Transition Infrastructure</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6"/>
          <w:szCs w:val="26"/>
        </w:rPr>
        <w:t xml:space="preserve">Why we need this architecture</w:t>
      </w:r>
    </w:p>
    <w:p>
      <w:pPr>
        <w:spacing w:after="1200"/>
        <w:jc w:val="center"/>
      </w:pPr>
      <w:r>
        <w:rPr>
          <w:rFonts w:ascii="Georgia" w:cs="Georgia" w:eastAsia="Georgia" w:hAnsi="Georgia"/>
          <w:i/>
          <w:iCs/>
          <w:color w:val="1A1A1A"/>
          <w:sz w:val="26"/>
          <w:szCs w:val="26"/>
        </w:rPr>
        <w:t xml:space="preserve">regardless of what we think about fairness.</w:t>
      </w:r>
    </w:p>
    <w:p>
      <w:pPr>
        <w:spacing w:before="1600"/>
      </w:pPr>
      <w:r>
        <w:t xml:space="preserve"/>
      </w:r>
    </w:p>
    <w:p>
      <w:pPr>
        <w:spacing w:after="80"/>
        <w:jc w:val="center"/>
      </w:pPr>
      <w:r>
        <w:rPr>
          <w:rFonts w:ascii="Georgia" w:cs="Georgia" w:eastAsia="Georgia" w:hAnsi="Georgia"/>
          <w:i/>
          <w:iCs/>
          <w:color w:val="595959"/>
          <w:sz w:val="22"/>
          <w:szCs w:val="22"/>
        </w:rPr>
        <w:t xml:space="preserve">A Strategic Companion to the We The People Platform</w:t>
      </w:r>
    </w:p>
    <w:p>
      <w:pPr>
        <w:spacing w:after="8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color w:val="595959"/>
          <w:sz w:val="20"/>
          <w:szCs w:val="20"/>
        </w:rPr>
        <w:t xml:space="preserve">Ohio  ·  2026</w:t>
      </w:r>
    </w:p>
    <w:p>
      <w:pPr>
        <w:spacing w:before="480"/>
        <w:jc w:val="center"/>
      </w:pPr>
      <w:r>
        <w:rPr>
          <w:rFonts w:ascii="Arial" w:cs="Arial" w:eastAsia="Arial" w:hAnsi="Arial"/>
          <w:i/>
          <w:iCs/>
          <w:color w:val="595959"/>
          <w:sz w:val="16"/>
          <w:szCs w:val="16"/>
        </w:rPr>
        <w:t>v1.0  ·  Created April 2026  ·  Updated May 3, 2026  ·  Updated May 10, 2026 for v3.7.12 (four-value vision frame added)</w:t>
      </w:r>
    </w:p>
    <w:p>
      <w:r>
        <w:br w:type="page"/>
      </w:r>
    </w:p>
    <w:p>
      <w:pPr>
        <w:pStyle w:val="Heading1"/>
        <w:spacing w:after="240" w:before="480"/>
      </w:pPr>
      <w:r>
        <w:rPr>
          <w:rFonts w:ascii="Arial" w:cs="Arial" w:eastAsia="Arial" w:hAnsi="Arial"/>
          <w:b/>
          <w:bCs/>
          <w:color w:val="1F4E78"/>
          <w:sz w:val="36"/>
          <w:szCs w:val="36"/>
        </w:rPr>
        <w:t xml:space="preserve">A Different Frame for the Same Platform</w:t>
      </w:r>
    </w:p>
    <w:p>
      <w:pPr>
        <w:spacing w:after="240" w:line="340"/>
        <w:jc w:val="both"/>
      </w:pPr>
      <w:r>
        <w:rPr>
          <w:rFonts w:ascii="Georgia" w:cs="Georgia" w:eastAsia="Georgia" w:hAnsi="Georgia"/>
          <w:color w:val="1A1A1A"/>
          <w:sz w:val="24"/>
          <w:szCs w:val="24"/>
        </w:rPr>
        <w:t xml:space="preserve">The We The People Platform has been described in terms of fairness, shared prosperity, and the principle that when one of us does well, all of us do well. Those framings are accurate and they are the framings that motivate the platform. They are not the only framings the platform supports.</w:t>
      </w:r>
    </w:p>
    <w:p>
      <w:pPr>
        <w:spacing w:after="200" w:line="320"/>
        <w:jc w:val="both"/>
      </w:pPr>
      <w:r>
        <w:rPr>
          <w:rFonts w:ascii="Georgia" w:cs="Georgia" w:eastAsia="Georgia" w:hAnsi="Georgia"/>
          <w:color w:val="1A1A1A"/>
          <w:sz w:val="22"/>
          <w:szCs w:val="22"/>
        </w:rPr>
        <w:t xml:space="preserve">This document offers a parallel argument that proceeds from a different starting point. It does not depend on any commitment to fairness or to shared prosperity as values. It depends only on the observation that the United States is approaching a workforce transition more disruptive than any since the industrial revolution, and that the country currently lacks the institutional infrastructure to absorb that transition without producing severe and widespread harm.</w:t>
      </w:r>
    </w:p>
    <w:p>
      <w:pPr>
        <w:spacing w:after="200" w:line="320"/>
        <w:jc w:val="both"/>
      </w:pPr>
      <w:r>
        <w:rPr>
          <w:rFonts w:ascii="Georgia" w:cs="Georgia" w:eastAsia="Georgia" w:hAnsi="Georgia"/>
          <w:color w:val="1A1A1A"/>
          <w:sz w:val="22"/>
          <w:szCs w:val="22"/>
        </w:rPr>
        <w:t xml:space="preserve">The platform described in the manifesto and supporting documents is the most coherent answer to that infrastructure gap that the author has been able to construct. It was not designed primarily as AI transition infrastructure — it was designed as shared prosperity infrastructure, and the AI transition application emerged from recognizing that the same architecture solves both problems. This is not a coincidence. Both problems share the same underlying structure: a country that produces enormous wealth but distributes neither the wealth nor the security it generates in ways that allow ordinary people to absorb economic disruption.</w:t>
      </w:r>
    </w:p>
    <w:p>
      <w:pPr>
        <w:spacing w:after="200" w:line="320"/>
        <w:jc w:val="both"/>
      </w:pPr>
      <w:r>
        <w:rPr>
          <w:rFonts w:ascii="Georgia" w:cs="Georgia" w:eastAsia="Georgia" w:hAnsi="Georgia"/>
          <w:color w:val="1A1A1A"/>
          <w:sz w:val="22"/>
          <w:szCs w:val="22"/>
        </w:rPr>
        <w:t xml:space="preserve">This document is offered specifically to readers whose primary concern is economic stability rather than fairness. The platform is framed differently for that audience, but it is the same platform. No claims in this document contradict claims in the manifesto. The claims are organized differently because the priorities of the audience are organized differently.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argument here does not require agreement with any particular vision of what America should be. It requires only the observation that the country is heading into a transition it is not ready for, and that someone needs to build the infrastructure for that transition before it arrives.”</w:t>
            </w:r>
          </w:p>
        </w:tc>
      </w:tr>
    </w:tbl>
    <w:p>
      <w:r>
        <w:br w:type="page"/>
      </w:r>
    </w:p>
    <w:p>
      <w:pPr>
        <w:pStyle w:val="Heading1"/>
        <w:spacing w:after="240" w:before="480"/>
      </w:pPr>
      <w:r>
        <w:rPr>
          <w:rFonts w:ascii="Arial" w:cs="Arial" w:eastAsia="Arial" w:hAnsi="Arial"/>
          <w:b/>
          <w:bCs/>
          <w:color w:val="1F4E78"/>
          <w:sz w:val="36"/>
          <w:szCs w:val="36"/>
        </w:rPr>
        <w:t>What This Architecture Encourages</w:t>
      </w:r>
    </w:p>
    <w:p>
      <w:pPr>
        <w:spacing w:after="240" w:line="340"/>
        <w:jc w:val="both"/>
      </w:pPr>
      <w:r>
        <w:rPr>
          <w:rFonts w:ascii="Georgia" w:cs="Georgia" w:eastAsia="Georgia" w:hAnsi="Georgia"/>
          <w:color w:val="1A1A1A"/>
          <w:sz w:val="24"/>
          <w:szCs w:val="24"/>
        </w:rPr>
        <w:t>Before the strategic argument that follows, it is worth naming what this architecture encourages, because the values frame is what makes the strategic argument coherent. The platform encourages five things at once: individuality, inclusivity, unity, equity, and ownership in America's bright future for me, and my friends, and my neighbors, and every American — together.</w:t>
      </w:r>
    </w:p>
    <w:p>
      <w:pPr>
        <w:spacing w:after="240" w:line="340"/>
        <w:jc w:val="both"/>
      </w:pPr>
      <w:r>
        <w:rPr>
          <w:rFonts w:ascii="Georgia" w:cs="Georgia" w:eastAsia="Georgia" w:hAnsi="Georgia"/>
          <w:color w:val="1A1A1A"/>
          <w:sz w:val="24"/>
          <w:szCs w:val="24"/>
        </w:rPr>
        <w:t>Individuality, because universal supports decouple personal mobility from employer dependence. In an economy where AI is restructuring whole sectors at once, a person whose health coverage is not tied to a job they may lose, whose education is not foreclosed by debt, and whose long-term care is secured, can adapt. Without these supports, the same person cannot.</w:t>
      </w:r>
    </w:p>
    <w:p>
      <w:pPr>
        <w:spacing w:after="240" w:line="340"/>
        <w:jc w:val="both"/>
      </w:pPr>
      <w:r>
        <w:rPr>
          <w:rFonts w:ascii="Georgia" w:cs="Georgia" w:eastAsia="Georgia" w:hAnsi="Georgia"/>
          <w:color w:val="1A1A1A"/>
          <w:sz w:val="24"/>
          <w:szCs w:val="24"/>
        </w:rPr>
        <w:t>Inclusivity, because the federal-as-floor architecture means no group can fall below the baseline regardless of geography or income. Inclusivity in this sense is not a slogan; it is the property that prevents AI-disruption losses from concentrating geographically into permanently abandoned regions.</w:t>
      </w:r>
    </w:p>
    <w:p>
      <w:pPr>
        <w:spacing w:after="240" w:line="340"/>
        <w:jc w:val="both"/>
      </w:pPr>
      <w:r>
        <w:rPr>
          <w:rFonts w:ascii="Georgia" w:cs="Georgia" w:eastAsia="Georgia" w:hAnsi="Georgia"/>
          <w:color w:val="1A1A1A"/>
          <w:sz w:val="24"/>
          <w:szCs w:val="24"/>
        </w:rPr>
        <w:t>Unity, because the same architectural logic runs through every pillar. A society that splits into a protected segment and an unprotected segment under AI disruption is not stable. A society where the architecture itself is universal in scope is. When one of us does well, we all do better.</w:t>
      </w:r>
    </w:p>
    <w:p>
      <w:pPr>
        <w:spacing w:after="240" w:line="340"/>
        <w:jc w:val="both"/>
      </w:pPr>
      <w:r>
        <w:rPr>
          <w:rFonts w:ascii="Georgia" w:cs="Georgia" w:eastAsia="Georgia" w:hAnsi="Georgia"/>
          <w:color w:val="1A1A1A"/>
          <w:sz w:val="24"/>
          <w:szCs w:val="24"/>
        </w:rPr>
        <w:t>Equity, because the platform measures honestly and contributes fairly. Wage floors set by occupation rather than geography; contribution by means rather than by mere wage; a high-earner architecture that ensures the largest shoulders carry proportionate weight. Equity is the funding mechanism that makes the architecture's expansionary commitments actually payable.</w:t>
      </w:r>
    </w:p>
    <w:p>
      <w:pPr>
        <w:spacing w:after="240" w:line="340"/>
        <w:jc w:val="both"/>
      </w:pPr>
      <w:r>
        <w:rPr>
          <w:rFonts w:ascii="Georgia" w:cs="Georgia" w:eastAsia="Georgia" w:hAnsi="Georgia"/>
          <w:color w:val="1A1A1A"/>
          <w:sz w:val="24"/>
          <w:szCs w:val="24"/>
        </w:rPr>
        <w:t>And ownership, because the Sovereign Fund and the Founding Stake make every American a participant in the wealth the country produces. AI's productivity gains will accrue somewhere. Ownership is the architectural answer to the question of where.</w:t>
      </w:r>
    </w:p>
    <w:p>
      <w:pPr>
        <w:spacing w:after="240" w:line="340"/>
        <w:jc w:val="both"/>
      </w:pPr>
      <w:r>
        <w:rPr>
          <w:rFonts w:ascii="Georgia" w:cs="Georgia" w:eastAsia="Georgia" w:hAnsi="Georgia"/>
          <w:color w:val="1A1A1A"/>
          <w:sz w:val="24"/>
          <w:szCs w:val="24"/>
        </w:rPr>
        <w:t>These five values, taken together, are why the platform's strategic case for AI-transition stability is the same as its case for shared prosperity. They are two framings of one architecture.</w:t>
      </w:r>
    </w:p>
    <w:p>
      <w:pPr>
        <w:pStyle w:val="Heading1"/>
        <w:spacing w:after="240" w:before="480"/>
      </w:pPr>
      <w:r>
        <w:rPr>
          <w:rFonts w:ascii="Arial" w:cs="Arial" w:eastAsia="Arial" w:hAnsi="Arial"/>
          <w:b/>
          <w:bCs/>
          <w:color w:val="1F4E78"/>
          <w:sz w:val="36"/>
          <w:szCs w:val="36"/>
        </w:rPr>
        <w:t xml:space="preserve">What’s Coming</w:t>
      </w:r>
    </w:p>
    <w:p>
      <w:pPr>
        <w:spacing w:after="240" w:line="340"/>
        <w:jc w:val="both"/>
      </w:pPr>
      <w:r>
        <w:rPr>
          <w:rFonts w:ascii="Georgia" w:cs="Georgia" w:eastAsia="Georgia" w:hAnsi="Georgia"/>
          <w:color w:val="1A1A1A"/>
          <w:sz w:val="24"/>
          <w:szCs w:val="24"/>
        </w:rPr>
        <w:t xml:space="preserve">Predictions about technology timelines are notoriously unreliable. Predictions about the direction technology is moving are more reliable. The direction is clear enough that planning for it has stopped being speculative and started being prudent.</w:t>
      </w:r>
    </w:p>
    <w:p>
      <w:pPr>
        <w:pStyle w:val="Heading3"/>
        <w:spacing w:after="120" w:before="240"/>
      </w:pPr>
      <w:r>
        <w:rPr>
          <w:rFonts w:ascii="Arial" w:cs="Arial" w:eastAsia="Arial" w:hAnsi="Arial"/>
          <w:b/>
          <w:bCs/>
          <w:color w:val="C00000"/>
          <w:sz w:val="22"/>
          <w:szCs w:val="22"/>
        </w:rPr>
        <w:t xml:space="preserve">The Pattern of Technology Disruption</w:t>
      </w:r>
    </w:p>
    <w:p>
      <w:pPr>
        <w:spacing w:after="200" w:line="320"/>
        <w:jc w:val="both"/>
      </w:pPr>
      <w:r>
        <w:rPr>
          <w:rFonts w:ascii="Georgia" w:cs="Georgia" w:eastAsia="Georgia" w:hAnsi="Georgia"/>
          <w:color w:val="1A1A1A"/>
          <w:sz w:val="22"/>
          <w:szCs w:val="22"/>
        </w:rPr>
        <w:t xml:space="preserve">Previous technology waves automated specific kinds of work in ways that were predictable in advance. The cotton gin automated seed separation. The mechanical loom automated weaving. The assembly line automated component installation. Industrial robots automated welding and painting. Each wave displaced workers in specific occupations and created opportunities in specific other occupations, with the transition spanning roughly a generation.</w:t>
      </w:r>
    </w:p>
    <w:p>
      <w:pPr>
        <w:spacing w:after="200" w:line="320"/>
        <w:jc w:val="both"/>
      </w:pPr>
      <w:r>
        <w:rPr>
          <w:rFonts w:ascii="Georgia" w:cs="Georgia" w:eastAsia="Georgia" w:hAnsi="Georgia"/>
          <w:color w:val="1A1A1A"/>
          <w:sz w:val="22"/>
          <w:szCs w:val="22"/>
        </w:rPr>
        <w:t xml:space="preserve">The current wave is different in two respects. First, it automates cognitive rather than physical work. The displaced workers are paralegals, accountants, financial analysts, customer service representatives, marketing professionals, software developers, journalists, designers, and many other occupations that previously required college education and produced middle-class incomes. Second, the automation is happening faster than previous waves. The first commercially viable large language models appeared in late 2022. By 2026, they have demonstrated capability in most cognitive tasks that white-collar workers perform. By 2030, they will be substantially more capable than they are now. The transition window is years rather than decades.</w:t>
      </w:r>
    </w:p>
    <w:p>
      <w:pPr>
        <w:pStyle w:val="Heading3"/>
        <w:spacing w:after="120" w:before="240"/>
      </w:pPr>
      <w:r>
        <w:rPr>
          <w:rFonts w:ascii="Arial" w:cs="Arial" w:eastAsia="Arial" w:hAnsi="Arial"/>
          <w:b/>
          <w:bCs/>
          <w:color w:val="C00000"/>
          <w:sz w:val="22"/>
          <w:szCs w:val="22"/>
        </w:rPr>
        <w:t xml:space="preserve">The Scale of Likely Impact</w:t>
      </w:r>
    </w:p>
    <w:p>
      <w:pPr>
        <w:spacing w:after="200" w:line="320"/>
        <w:jc w:val="both"/>
      </w:pPr>
      <w:r>
        <w:rPr>
          <w:rFonts w:ascii="Georgia" w:cs="Georgia" w:eastAsia="Georgia" w:hAnsi="Georgia"/>
          <w:color w:val="1A1A1A"/>
          <w:sz w:val="22"/>
          <w:szCs w:val="22"/>
        </w:rPr>
        <w:t xml:space="preserve">Reasonable estimates of workforce impact vary enormously depending on methodology and assumptions. Optimistic estimates suggest 15-20% of current jobs face substantial automation pressure over the next two decades. Pessimistic estimates run as high as 40-50%. These are not the same as predictions of unemployment — historical technology waves have produced substantial occupational change with relatively modest unemployment effects, because new occupations emerged to absorb displaced workers. Whether this will hold in the current wave is uncertain. The new occupations are emerging, but they require substantially different skills than the displaced occupations, and the retraining infrastructure to bridge that gap is not currently built.</w:t>
      </w:r>
    </w:p>
    <w:p>
      <w:pPr>
        <w:spacing w:after="200" w:line="320"/>
        <w:jc w:val="both"/>
      </w:pPr>
      <w:r>
        <w:rPr>
          <w:rFonts w:ascii="Georgia" w:cs="Georgia" w:eastAsia="Georgia" w:hAnsi="Georgia"/>
          <w:color w:val="1A1A1A"/>
          <w:sz w:val="22"/>
          <w:szCs w:val="22"/>
        </w:rPr>
        <w:t xml:space="preserve">The geographic distribution of the impact is concentrated. Cities and regions whose economies depend on white-collar professional services — finance, law, consulting, technology, media — will see substantial disruption. Cities whose economies depend on healthcare, education, skilled trades, and care work will see less. The disruption pattern roughly inverts the prosperity pattern of the past forty years, with previously high-prosperity regions facing larger adjustments than previously struggling regions. The political implications of this geographic pattern are significant and worth thinking about explicitly.</w:t>
      </w:r>
    </w:p>
    <w:p>
      <w:pPr>
        <w:pStyle w:val="Heading3"/>
        <w:spacing w:after="120" w:before="240"/>
      </w:pPr>
      <w:r>
        <w:rPr>
          <w:rFonts w:ascii="Arial" w:cs="Arial" w:eastAsia="Arial" w:hAnsi="Arial"/>
          <w:b/>
          <w:bCs/>
          <w:color w:val="C00000"/>
          <w:sz w:val="22"/>
          <w:szCs w:val="22"/>
        </w:rPr>
        <w:t xml:space="preserve">What Probably Won’t Be Automated</w:t>
      </w:r>
    </w:p>
    <w:p>
      <w:pPr>
        <w:spacing w:after="200" w:line="320"/>
        <w:jc w:val="both"/>
      </w:pPr>
      <w:r>
        <w:rPr>
          <w:rFonts w:ascii="Georgia" w:cs="Georgia" w:eastAsia="Georgia" w:hAnsi="Georgia"/>
          <w:color w:val="1A1A1A"/>
          <w:sz w:val="22"/>
          <w:szCs w:val="22"/>
        </w:rPr>
        <w:t xml:space="preserve">Several categories of work resist automation for reasons that appear durable. Care work requires physical presence, emotional attunement, judgment about ambiguous situations, and contextual understanding that current AI systems do not replicate well. A nurse adjusting medications based on subtle patient observations does work that AI struggles with. A therapist sitting with someone through grief does work that AI struggles with. A childcare worker noticing that one specific child seems off today does work that AI struggles with.</w:t>
      </w:r>
    </w:p>
    <w:p>
      <w:pPr>
        <w:spacing w:after="200" w:line="320"/>
        <w:jc w:val="both"/>
      </w:pPr>
      <w:r>
        <w:rPr>
          <w:rFonts w:ascii="Georgia" w:cs="Georgia" w:eastAsia="Georgia" w:hAnsi="Georgia"/>
          <w:color w:val="1A1A1A"/>
          <w:sz w:val="22"/>
          <w:szCs w:val="22"/>
        </w:rPr>
        <w:t xml:space="preserve">Skilled trades requiring physical dexterity in unstructured environments resist automation for similar reasons. A plumber diagnosing a complex problem in a fifty-year-old house does work that current robotics cannot do. An electrician troubleshooting an industrial control system does work that current robotics cannot do. The construction industry has automated many specific tasks but has not automated the integration of those tasks at the building level.</w:t>
      </w:r>
    </w:p>
    <w:p>
      <w:pPr>
        <w:spacing w:after="200" w:line="320"/>
        <w:jc w:val="both"/>
      </w:pPr>
      <w:r>
        <w:rPr>
          <w:rFonts w:ascii="Georgia" w:cs="Georgia" w:eastAsia="Georgia" w:hAnsi="Georgia"/>
          <w:color w:val="1A1A1A"/>
          <w:sz w:val="22"/>
          <w:szCs w:val="22"/>
        </w:rPr>
        <w:t xml:space="preserve">Work requiring genuine human judgment about ethically complex situations resists automation for reasons that may persist regardless of how capable AI becomes. Decisions about who gets organ transplants, who gets hired, who gets parole, who gets approved for adoption — these decisions can be informed by AI but are unlikely to be made by AI in any society that values human accountability for such decisions.</w:t>
      </w:r>
    </w:p>
    <w:p>
      <w:pPr>
        <w:spacing w:after="200" w:line="320"/>
        <w:jc w:val="both"/>
      </w:pPr>
      <w:r>
        <w:rPr>
          <w:rFonts w:ascii="Georgia" w:cs="Georgia" w:eastAsia="Georgia" w:hAnsi="Georgia"/>
          <w:color w:val="1A1A1A"/>
          <w:sz w:val="22"/>
          <w:szCs w:val="22"/>
        </w:rPr>
        <w:t xml:space="preserve">Work that requires sustained relationships with the same individual over time resists automation because the value of the relationship comes from continuity that AI cannot provide. A primary care physician who has known a patient for twenty years has knowledge no AI system can replicate. A teacher who has taught a child through three grades has knowledge no AI system can replicate. A social worker who has worked with a family through multiple crises has knowledge no AI system can replicate.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“What won’t be automated turns out to be exactly the work that has been historically undervalued in American compensation structures. AI doesn’t just disrupt the economy. It reveals what the economy has been undervaluing.”</w:t>
            </w:r>
          </w:p>
        </w:tc>
      </w:tr>
    </w:tbl>
    <w:p>
      <w:r>
        <w:br w:type="page"/>
      </w:r>
    </w:p>
    <w:p>
      <w:pPr>
        <w:pStyle w:val="Heading1"/>
        <w:spacing w:after="240" w:before="480"/>
      </w:pPr>
      <w:r>
        <w:rPr>
          <w:rFonts w:ascii="Arial" w:cs="Arial" w:eastAsia="Arial" w:hAnsi="Arial"/>
          <w:b/>
          <w:bCs/>
          <w:color w:val="1F4E78"/>
          <w:sz w:val="36"/>
          <w:szCs w:val="36"/>
        </w:rPr>
        <w:t xml:space="preserve">What the Country Doesn’t Have</w:t>
      </w:r>
    </w:p>
    <w:p>
      <w:pPr>
        <w:spacing w:after="240" w:line="340"/>
        <w:jc w:val="both"/>
      </w:pPr>
      <w:r>
        <w:rPr>
          <w:rFonts w:ascii="Georgia" w:cs="Georgia" w:eastAsia="Georgia" w:hAnsi="Georgia"/>
          <w:color w:val="1A1A1A"/>
          <w:sz w:val="24"/>
          <w:szCs w:val="24"/>
        </w:rPr>
        <w:t xml:space="preserve">Several institutional capacities that other developed countries take for granted are absent or inadequate in the United States. Each absence is survivable in normal times. Together, they constitute a structural inability to absorb the workforce transition that AI is producing.</w:t>
      </w:r>
    </w:p>
    <w:p>
      <w:pPr>
        <w:pStyle w:val="Heading3"/>
        <w:spacing w:after="120" w:before="240"/>
      </w:pPr>
      <w:r>
        <w:rPr>
          <w:rFonts w:ascii="Arial" w:cs="Arial" w:eastAsia="Arial" w:hAnsi="Arial"/>
          <w:b/>
          <w:bCs/>
          <w:color w:val="C00000"/>
          <w:sz w:val="22"/>
          <w:szCs w:val="22"/>
        </w:rPr>
        <w:t xml:space="preserve">Healthcare Decoupled From Employment</w:t>
      </w:r>
    </w:p>
    <w:p>
      <w:pPr>
        <w:spacing w:after="200" w:line="320"/>
        <w:jc w:val="both"/>
      </w:pPr>
      <w:r>
        <w:rPr>
          <w:rFonts w:ascii="Georgia" w:cs="Georgia" w:eastAsia="Georgia" w:hAnsi="Georgia"/>
          <w:color w:val="1A1A1A"/>
          <w:sz w:val="22"/>
          <w:szCs w:val="22"/>
        </w:rPr>
        <w:t xml:space="preserve">Most developed countries provide healthcare independently of employment. The United States ties healthcare access to employment for most working-age adults through the employer-based insurance system. When workers are displaced, they lose healthcare access at exactly the moment they most need it. The current Affordable Care Act marketplace partially addresses this but produces healthcare costs that displaced workers often cannot afford during exactly the transition period when they have no income.</w:t>
      </w:r>
    </w:p>
    <w:p>
      <w:pPr>
        <w:spacing w:after="200" w:line="320"/>
        <w:jc w:val="both"/>
      </w:pPr>
      <w:r>
        <w:rPr>
          <w:rFonts w:ascii="Georgia" w:cs="Georgia" w:eastAsia="Georgia" w:hAnsi="Georgia"/>
          <w:color w:val="1A1A1A"/>
          <w:sz w:val="22"/>
          <w:szCs w:val="22"/>
        </w:rPr>
        <w:t xml:space="preserve">Universal healthcare access decoupled from employment converts unemployment from a healthcare crisis into a labor market transition. Workers can leave or be displaced from jobs without losing access to medical care. Workers can pursue retraining without medical bankruptcy risk. Workers can take entrepreneurial risks without putting their families’ health at stake. None of this requires altruistic motivation — it is the structural infrastructure that makes labor markets function smoothly during periods of disruption.</w:t>
      </w:r>
    </w:p>
    <w:p>
      <w:pPr>
        <w:pStyle w:val="Heading3"/>
        <w:spacing w:after="120" w:before="240"/>
      </w:pPr>
      <w:r>
        <w:rPr>
          <w:rFonts w:ascii="Arial" w:cs="Arial" w:eastAsia="Arial" w:hAnsi="Arial"/>
          <w:b/>
          <w:bCs/>
          <w:color w:val="C00000"/>
          <w:sz w:val="22"/>
          <w:szCs w:val="22"/>
        </w:rPr>
        <w:t xml:space="preserve">Childcare Independent of Family Income</w:t>
      </w:r>
    </w:p>
    <w:p>
      <w:pPr>
        <w:spacing w:after="200" w:line="320"/>
        <w:jc w:val="both"/>
      </w:pPr>
      <w:r>
        <w:rPr>
          <w:rFonts w:ascii="Georgia" w:cs="Georgia" w:eastAsia="Georgia" w:hAnsi="Georgia"/>
          <w:color w:val="1A1A1A"/>
          <w:sz w:val="22"/>
          <w:szCs w:val="22"/>
        </w:rPr>
        <w:t xml:space="preserve">Childcare costs in the United States consume a substantial fraction of family income for working parents. When a parent is displaced, the family faces a difficult choice: continue paying for childcare during the period of unemployment to preserve return-to-work optionality, or stop paying and lose access to that childcare arrangement. Either choice is bad. The first depletes savings. The second eliminates the ability to pursue work without first finding new childcare — a process that often takes months and may produce inferior arrangements.</w:t>
      </w:r>
    </w:p>
    <w:p>
      <w:pPr>
        <w:spacing w:after="200" w:line="320"/>
        <w:jc w:val="both"/>
      </w:pPr>
      <w:r>
        <w:rPr>
          <w:rFonts w:ascii="Georgia" w:cs="Georgia" w:eastAsia="Georgia" w:hAnsi="Georgia"/>
          <w:color w:val="1A1A1A"/>
          <w:sz w:val="22"/>
          <w:szCs w:val="22"/>
        </w:rPr>
        <w:t xml:space="preserve">Universal childcare access converts displacement from a family crisis into a labor market transition. Workers can transition between employments without losing childcare. Workers can pursue retraining without losing childcare. The structural impediment to workforce mobility that current childcare costs create is removed.</w:t>
      </w:r>
    </w:p>
    <w:p>
      <w:pPr>
        <w:pStyle w:val="Heading3"/>
        <w:spacing w:after="120" w:before="240"/>
      </w:pPr>
      <w:r>
        <w:rPr>
          <w:rFonts w:ascii="Arial" w:cs="Arial" w:eastAsia="Arial" w:hAnsi="Arial"/>
          <w:b/>
          <w:bCs/>
          <w:color w:val="C00000"/>
          <w:sz w:val="22"/>
          <w:szCs w:val="22"/>
        </w:rPr>
        <w:t xml:space="preserve">Mid-Career Education Infrastructure</w:t>
      </w:r>
    </w:p>
    <w:p>
      <w:pPr>
        <w:spacing w:after="200" w:line="320"/>
        <w:jc w:val="both"/>
      </w:pPr>
      <w:r>
        <w:rPr>
          <w:rFonts w:ascii="Georgia" w:cs="Georgia" w:eastAsia="Georgia" w:hAnsi="Georgia"/>
          <w:color w:val="1A1A1A"/>
          <w:sz w:val="22"/>
          <w:szCs w:val="22"/>
        </w:rPr>
        <w:t xml:space="preserve">The American education system is structured around 18-year-olds entering four-year colleges. Mid-career retraining for workers in their 40s, 50s, and 60s is poorly served. Available options include community college programs largely designed for younger students, expensive private bootcamps with mixed quality and outcomes, employer-sponsored training tied to specific employment relationships, and online programs of widely varying quality. Workers facing displacement have no clear path into the new occupations that are emerging.</w:t>
      </w:r>
    </w:p>
    <w:p>
      <w:pPr>
        <w:spacing w:after="200" w:line="320"/>
        <w:jc w:val="both"/>
      </w:pPr>
      <w:r>
        <w:rPr>
          <w:rFonts w:ascii="Georgia" w:cs="Georgia" w:eastAsia="Georgia" w:hAnsi="Georgia"/>
          <w:color w:val="1A1A1A"/>
          <w:sz w:val="22"/>
          <w:szCs w:val="22"/>
        </w:rPr>
        <w:t xml:space="preserve">The platform’s education pillar funds education for any American between ages 17 and 30 with explicit support for non-traditional learners. Extending eligibility upward to support mid-career retraining is a natural extension of the architecture. The Sovereign Education Fund’s capacity grows over time, which allows extensions of eligibility as the fund matures. A workforce in transition needs this infrastructure. The country currently lacks it.</w:t>
      </w:r>
    </w:p>
    <w:p>
      <w:pPr>
        <w:pStyle w:val="Heading3"/>
        <w:spacing w:after="120" w:before="240"/>
      </w:pPr>
      <w:r>
        <w:rPr>
          <w:rFonts w:ascii="Arial" w:cs="Arial" w:eastAsia="Arial" w:hAnsi="Arial"/>
          <w:b/>
          <w:bCs/>
          <w:color w:val="C00000"/>
          <w:sz w:val="22"/>
          <w:szCs w:val="22"/>
        </w:rPr>
        <w:t xml:space="preserve">Mental Health Infrastructure for Displacement</w:t>
      </w:r>
    </w:p>
    <w:p>
      <w:pPr>
        <w:spacing w:after="200" w:line="320"/>
        <w:jc w:val="both"/>
      </w:pPr>
      <w:r>
        <w:rPr>
          <w:rFonts w:ascii="Georgia" w:cs="Georgia" w:eastAsia="Georgia" w:hAnsi="Georgia"/>
          <w:color w:val="1A1A1A"/>
          <w:sz w:val="22"/>
          <w:szCs w:val="22"/>
        </w:rPr>
        <w:t xml:space="preserve">Workforce displacement produces measurable mental health consequences. Rates of depression, anxiety, substance use disorder, and suicide rise during periods of economic disruption. Communities that experience concentrated displacement — a factory closing, an industry contracting, a region’s economic base eroding — see these effects compound into community-wide patterns. The opioid crisis was substantially driven by exactly this dynamic in regions affected by manufacturing displacement.</w:t>
      </w:r>
    </w:p>
    <w:p>
      <w:pPr>
        <w:spacing w:after="200" w:line="320"/>
        <w:jc w:val="both"/>
      </w:pPr>
      <w:r>
        <w:rPr>
          <w:rFonts w:ascii="Georgia" w:cs="Georgia" w:eastAsia="Georgia" w:hAnsi="Georgia"/>
          <w:color w:val="1A1A1A"/>
          <w:sz w:val="22"/>
          <w:szCs w:val="22"/>
        </w:rPr>
        <w:t xml:space="preserve">Universal mental health access reduces the human cost of displacement. It also reduces the secondary economic costs of displacement, which include increased healthcare utilization for stress-related conditions, reduced workforce participation by displaced workers who develop mental health conditions, and the social costs of communities experiencing concentrated mental health stress. Treating mental health access as workforce transition infrastructure rather than as a social welfare benefit reframes the political case for it.</w:t>
      </w:r>
    </w:p>
    <w:p>
      <w:pPr>
        <w:pStyle w:val="Heading3"/>
        <w:spacing w:after="120" w:before="240"/>
      </w:pPr>
      <w:r>
        <w:rPr>
          <w:rFonts w:ascii="Arial" w:cs="Arial" w:eastAsia="Arial" w:hAnsi="Arial"/>
          <w:b/>
          <w:bCs/>
          <w:color w:val="C00000"/>
          <w:sz w:val="22"/>
          <w:szCs w:val="22"/>
        </w:rPr>
        <w:t xml:space="preserve">Retirement Security Independent of Employment Continuity</w:t>
      </w:r>
    </w:p>
    <w:p>
      <w:pPr>
        <w:spacing w:after="200" w:line="320"/>
        <w:jc w:val="both"/>
      </w:pPr>
      <w:r>
        <w:rPr>
          <w:rFonts w:ascii="Georgia" w:cs="Georgia" w:eastAsia="Georgia" w:hAnsi="Georgia"/>
          <w:color w:val="1A1A1A"/>
          <w:sz w:val="22"/>
          <w:szCs w:val="22"/>
        </w:rPr>
        <w:t xml:space="preserve">The current American retirement system rewards continuous employment and penalizes career disruption. Workers with discontinuous careers — due to caregiving, displacement, or other reasons — retire with substantially less savings than workers with continuous careers, even when their lifetime earnings are similar. This is structurally bad for individual retirement security. It is also structurally bad for an economy facing widespread workforce disruption, because workers approaching retirement during a displacement event face the worst possible outcome: years of high earnings disrupted at exactly the worst moment for retirement preparation.</w:t>
      </w:r>
    </w:p>
    <w:p>
      <w:pPr>
        <w:spacing w:after="200" w:line="320"/>
        <w:jc w:val="both"/>
      </w:pPr>
      <w:r>
        <w:rPr>
          <w:rFonts w:ascii="Georgia" w:cs="Georgia" w:eastAsia="Georgia" w:hAnsi="Georgia"/>
          <w:color w:val="1A1A1A"/>
          <w:sz w:val="22"/>
          <w:szCs w:val="22"/>
        </w:rPr>
        <w:t xml:space="preserve">The Community Contribution Plan addresses this by making retirement contributions and accumulation portable across employments and resilient to career disruption. A worker displaced at age 55 doesn’t lose retirement security — their accumulated balance is theirs, their continued contributions resume when they return to work, and the Sovereign Fund’s growth provides the cushion that individual savings alone cannot.</w:t>
      </w:r>
    </w:p>
    <w:p>
      <w:pPr>
        <w:pStyle w:val="Heading3"/>
        <w:spacing w:after="120" w:before="240"/>
      </w:pPr>
      <w:r>
        <w:rPr>
          <w:rFonts w:ascii="Arial" w:cs="Arial" w:eastAsia="Arial" w:hAnsi="Arial"/>
          <w:b/>
          <w:bCs/>
          <w:color w:val="C00000"/>
          <w:sz w:val="22"/>
          <w:szCs w:val="22"/>
        </w:rPr>
        <w:t xml:space="preserve">Wage Floors That Move With Markets</w:t>
      </w:r>
    </w:p>
    <w:p>
      <w:pPr>
        <w:spacing w:after="200" w:line="320"/>
        <w:jc w:val="both"/>
      </w:pPr>
      <w:r>
        <w:rPr>
          <w:rFonts w:ascii="Georgia" w:cs="Georgia" w:eastAsia="Georgia" w:hAnsi="Georgia"/>
          <w:color w:val="1A1A1A"/>
          <w:sz w:val="22"/>
          <w:szCs w:val="22"/>
        </w:rPr>
        <w:t xml:space="preserve">Workers entering new occupations after displacement need to know what those occupations actually pay. The current minimum wage is irrelevant for almost all displaced white-collar workers, because the minimum wage is far below the wages they would consider accepting. What they need is occupation-specific information about what employers are paying for similar work. The empirical wage floor system provides this directly. A displaced paralegal considering retraining as a nurse can see exactly what nurses in their region are paid at the 25th percentile, the median, and the 75th percentile. The information is the foundation for rational career decisions during disruption.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color w:val="1A1A1A"/>
                <w:sz w:val="22"/>
                <w:szCs w:val="22"/>
              </w:rPr>
              <w:t xml:space="preserve">Each gap above is survivable individually. Together, they describe a country that has no infrastructure for workforce transition at the scale that’s coming. The platform’s pillars address each gap. The combined platform addresses the gaps as an integrated system, which is what the workforce transition will require.</w:t>
            </w:r>
          </w:p>
        </w:tc>
      </w:tr>
    </w:tbl>
    <w:p>
      <w:r>
        <w:br w:type="page"/>
      </w:r>
    </w:p>
    <w:p>
      <w:pPr>
        <w:pStyle w:val="Heading1"/>
        <w:spacing w:after="240" w:before="480"/>
      </w:pPr>
      <w:r>
        <w:rPr>
          <w:rFonts w:ascii="Arial" w:cs="Arial" w:eastAsia="Arial" w:hAnsi="Arial"/>
          <w:b/>
          <w:bCs/>
          <w:color w:val="1F4E78"/>
          <w:sz w:val="36"/>
          <w:szCs w:val="36"/>
        </w:rPr>
        <w:t xml:space="preserve">Why the Platform Fits</w:t>
      </w:r>
    </w:p>
    <w:p>
      <w:pPr>
        <w:spacing w:after="240" w:line="340"/>
        <w:jc w:val="both"/>
      </w:pPr>
      <w:r>
        <w:rPr>
          <w:rFonts w:ascii="Georgia" w:cs="Georgia" w:eastAsia="Georgia" w:hAnsi="Georgia"/>
          <w:color w:val="1A1A1A"/>
          <w:sz w:val="24"/>
          <w:szCs w:val="24"/>
        </w:rPr>
        <w:t xml:space="preserve">The platform was not originally designed as AI transition infrastructure. It was designed as shared prosperity infrastructure. The fit between the two purposes is not coincidental. Both purposes require addressing the same underlying problem: how the country distributes economic security and opportunity in a world where the existing distribution mechanisms are failing.</w:t>
      </w:r>
    </w:p>
    <w:p>
      <w:pPr>
        <w:pStyle w:val="Heading3"/>
        <w:spacing w:after="120" w:before="240"/>
      </w:pPr>
      <w:r>
        <w:rPr>
          <w:rFonts w:ascii="Arial" w:cs="Arial" w:eastAsia="Arial" w:hAnsi="Arial"/>
          <w:b/>
          <w:bCs/>
          <w:color w:val="C00000"/>
          <w:sz w:val="22"/>
          <w:szCs w:val="22"/>
        </w:rPr>
        <w:t xml:space="preserve">Each Pillar in Workforce Transition Terms</w:t>
      </w:r>
    </w:p>
    <w:p>
      <w:pPr>
        <w:spacing w:after="200" w:line="320"/>
        <w:jc w:val="both"/>
      </w:pPr>
      <w:r>
        <w:rPr>
          <w:rFonts w:ascii="Georgia" w:cs="Georgia" w:eastAsia="Georgia" w:hAnsi="Georgia"/>
          <w:b/>
          <w:bCs/>
          <w:sz w:val="22"/>
          <w:szCs w:val="22"/>
        </w:rPr>
        <w:t xml:space="preserve">The Community Contribution Plan </w:t>
      </w:r>
      <w:r>
        <w:rPr>
          <w:rFonts w:ascii="Georgia" w:cs="Georgia" w:eastAsia="Georgia" w:hAnsi="Georgia"/>
          <w:color w:val="1A1A1A"/>
          <w:sz w:val="22"/>
          <w:szCs w:val="22"/>
        </w:rPr>
        <w:t xml:space="preserve">preserves retirement security across career disruption. Workers displaced from jobs at any age retain their accumulated balances, their contributions resume when they return to work, and the Sovereign Fund’s growth provides the cushion that allows the system to absorb periods of widespread displacement without collapsing the retirement security of affected workers.</w:t>
      </w:r>
    </w:p>
    <w:p>
      <w:pPr>
        <w:spacing w:after="200" w:line="320"/>
        <w:jc w:val="both"/>
      </w:pPr>
      <w:r>
        <w:rPr>
          <w:rFonts w:ascii="Georgia" w:cs="Georgia" w:eastAsia="Georgia" w:hAnsi="Georgia"/>
          <w:b/>
          <w:bCs/>
          <w:sz w:val="22"/>
          <w:szCs w:val="22"/>
        </w:rPr>
        <w:t xml:space="preserve">Empirical Wage Floors </w:t>
      </w:r>
      <w:r>
        <w:rPr>
          <w:rFonts w:ascii="Georgia" w:cs="Georgia" w:eastAsia="Georgia" w:hAnsi="Georgia"/>
          <w:color w:val="1A1A1A"/>
          <w:sz w:val="22"/>
          <w:szCs w:val="22"/>
        </w:rPr>
        <w:t xml:space="preserve">provide displaced workers with reliable information about what new occupations actually pay. The wage floor system also raises wages in the care occupations that are likely to absorb significant transition workforce, making those occupations attractive enough to retrain into. Workers transitioning into caregiving roles deserve to know that the work pays enough to support a family. The empirical floor system makes that knowable and binding.</w:t>
      </w:r>
    </w:p>
    <w:p>
      <w:pPr>
        <w:spacing w:after="200" w:line="320"/>
        <w:jc w:val="both"/>
      </w:pPr>
      <w:r>
        <w:rPr>
          <w:rFonts w:ascii="Georgia" w:cs="Georgia" w:eastAsia="Georgia" w:hAnsi="Georgia"/>
          <w:b/>
          <w:bCs/>
          <w:sz w:val="22"/>
          <w:szCs w:val="22"/>
        </w:rPr>
        <w:t xml:space="preserve">The Sovereign Education Fund </w:t>
      </w:r>
      <w:r>
        <w:rPr>
          <w:rFonts w:ascii="Georgia" w:cs="Georgia" w:eastAsia="Georgia" w:hAnsi="Georgia"/>
          <w:color w:val="1A1A1A"/>
          <w:sz w:val="22"/>
          <w:szCs w:val="22"/>
        </w:rPr>
        <w:t xml:space="preserve">funds the education and retraining required for workers to transition into new occupations. With eligibility extension to cover mid-career retraining, the fund becomes the primary instrument through which the country develops the workforce required for the post-transition economy. The cost-based pricing framework prevents the predictable problem of training providers pricing programs to capture maximum benefit dollars rather than to deliver maximum educational value.</w:t>
      </w:r>
    </w:p>
    <w:p>
      <w:pPr>
        <w:spacing w:after="200" w:line="320"/>
        <w:jc w:val="both"/>
      </w:pPr>
      <w:r>
        <w:rPr>
          <w:rFonts w:ascii="Georgia" w:cs="Georgia" w:eastAsia="Georgia" w:hAnsi="Georgia"/>
          <w:b/>
          <w:bCs/>
          <w:sz w:val="22"/>
          <w:szCs w:val="22"/>
        </w:rPr>
        <w:t xml:space="preserve">Universal Healthcare </w:t>
      </w:r>
      <w:r>
        <w:rPr>
          <w:rFonts w:ascii="Georgia" w:cs="Georgia" w:eastAsia="Georgia" w:hAnsi="Georgia"/>
          <w:color w:val="1A1A1A"/>
          <w:sz w:val="22"/>
          <w:szCs w:val="22"/>
        </w:rPr>
        <w:t xml:space="preserve">decouples healthcare access from employment, eliminating the catastrophic outcome where displacement and medical crisis compound into bankruptcy. Workers can pursue retraining, accept lower-paying transitional employment, or take time to reorient their careers without facing the loss of medical care for themselves or their families.</w:t>
      </w:r>
    </w:p>
    <w:p>
      <w:pPr>
        <w:spacing w:after="200" w:line="320"/>
        <w:jc w:val="both"/>
      </w:pPr>
      <w:r>
        <w:rPr>
          <w:rFonts w:ascii="Georgia" w:cs="Georgia" w:eastAsia="Georgia" w:hAnsi="Georgia"/>
          <w:b/>
          <w:bCs/>
          <w:sz w:val="22"/>
          <w:szCs w:val="22"/>
        </w:rPr>
        <w:t xml:space="preserve">Universal Childcare </w:t>
      </w:r>
      <w:r>
        <w:rPr>
          <w:rFonts w:ascii="Georgia" w:cs="Georgia" w:eastAsia="Georgia" w:hAnsi="Georgia"/>
          <w:color w:val="1A1A1A"/>
          <w:sz w:val="22"/>
          <w:szCs w:val="22"/>
        </w:rPr>
        <w:t xml:space="preserve">removes one of the largest structural impediments to workforce mobility. Workers can change jobs, pursue retraining, or relocate for new employment without losing their childcare arrangements. This is particularly important for women, who currently bear disproportionate cost when childcare arrangements break down due to economic disruption.</w:t>
      </w:r>
    </w:p>
    <w:p>
      <w:pPr>
        <w:spacing w:after="200" w:line="320"/>
        <w:jc w:val="both"/>
      </w:pPr>
      <w:r>
        <w:rPr>
          <w:rFonts w:ascii="Georgia" w:cs="Georgia" w:eastAsia="Georgia" w:hAnsi="Georgia"/>
          <w:b/>
          <w:bCs/>
          <w:sz w:val="22"/>
          <w:szCs w:val="22"/>
        </w:rPr>
        <w:t xml:space="preserve">Universal Mental Health Access </w:t>
      </w:r>
      <w:r>
        <w:rPr>
          <w:rFonts w:ascii="Georgia" w:cs="Georgia" w:eastAsia="Georgia" w:hAnsi="Georgia"/>
          <w:color w:val="1A1A1A"/>
          <w:sz w:val="22"/>
          <w:szCs w:val="22"/>
        </w:rPr>
        <w:t xml:space="preserve">reduces the human cost of displacement and prevents the cascading community-level mental health crises that have followed previous waves of economic disruption. The economic case is straightforward: untreated mental health conditions in displaced workers reduce their ability to retrain and re-enter the workforce. Treatment is workforce transition infrastructure.</w:t>
      </w:r>
    </w:p>
    <w:p>
      <w:pPr>
        <w:pStyle w:val="Heading3"/>
        <w:spacing w:after="120" w:before="240"/>
      </w:pPr>
      <w:r>
        <w:rPr>
          <w:rFonts w:ascii="Arial" w:cs="Arial" w:eastAsia="Arial" w:hAnsi="Arial"/>
          <w:b/>
          <w:bCs/>
          <w:color w:val="C00000"/>
          <w:sz w:val="22"/>
          <w:szCs w:val="22"/>
        </w:rPr>
        <w:t xml:space="preserve">The Architecture as a System</w:t>
      </w:r>
    </w:p>
    <w:p>
      <w:pPr>
        <w:spacing w:after="200" w:line="320"/>
        <w:jc w:val="both"/>
      </w:pPr>
      <w:r>
        <w:rPr>
          <w:rFonts w:ascii="Georgia" w:cs="Georgia" w:eastAsia="Georgia" w:hAnsi="Georgia"/>
          <w:color w:val="1A1A1A"/>
          <w:sz w:val="22"/>
          <w:szCs w:val="22"/>
        </w:rPr>
        <w:t>The pillars work together. A worker displaced by AI in their early forties retains retirement security through the Community Contribution Plan. They retain healthcare for themselves and their family through universal healthcare access. They retain childcare during their transition through universal childcare. They access education funding for retraining through the Sovereign Education Fund’s extended eligibility. They have mental health support during the difficult transition period through Universal Mental Health access. They make rational career decisions about which occupations to retrain into using the wage floor information system. They re-enter the workforce in occupations the platform has helped make attractive through proper compensation.</w:t>
      </w:r>
    </w:p>
    <w:p>
      <w:pPr>
        <w:spacing w:after="200" w:line="320"/>
        <w:jc w:val="both"/>
      </w:pPr>
      <w:r>
        <w:rPr>
          <w:rFonts w:ascii="Georgia" w:cs="Georgia" w:eastAsia="Georgia" w:hAnsi="Georgia"/>
          <w:color w:val="1A1A1A"/>
          <w:sz w:val="22"/>
          <w:szCs w:val="22"/>
        </w:rPr>
        <w:t xml:space="preserve">None of this prevents AI displacement. The platform doesn’t change which jobs are automated or how quickly. What the platform does is make displacement survivable. It converts what would otherwise be catastrophic life events into difficult but manageable transitions. The country that has this infrastructure absorbs the AI transition with disruption but without collapse. The country that doesn’t have this infrastructure faces the AI transition with the institutional capacity it currently has, which is inadequate to the scale of what’s coming.</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choice is not whether the country experiences this transition. The choice is whether the country has built the infrastructure to absorb it before it arrives.”</w:t>
            </w:r>
          </w:p>
        </w:tc>
      </w:tr>
    </w:tbl>
    <w:p>
      <w:r>
        <w:br w:type="page"/>
      </w:r>
    </w:p>
    <w:p>
      <w:pPr>
        <w:pStyle w:val="Heading1"/>
        <w:spacing w:after="240" w:before="480"/>
      </w:pPr>
      <w:r>
        <w:rPr>
          <w:rFonts w:ascii="Arial" w:cs="Arial" w:eastAsia="Arial" w:hAnsi="Arial"/>
          <w:b/>
          <w:bCs/>
          <w:color w:val="1F4E78"/>
          <w:sz w:val="36"/>
          <w:szCs w:val="36"/>
        </w:rPr>
        <w:t xml:space="preserve">On the Political Frame</w:t>
      </w:r>
    </w:p>
    <w:p>
      <w:pPr>
        <w:spacing w:after="240" w:line="340"/>
        <w:jc w:val="both"/>
      </w:pPr>
      <w:r>
        <w:rPr>
          <w:rFonts w:ascii="Georgia" w:cs="Georgia" w:eastAsia="Georgia" w:hAnsi="Georgia"/>
          <w:color w:val="1A1A1A"/>
          <w:sz w:val="24"/>
          <w:szCs w:val="24"/>
        </w:rPr>
        <w:t xml:space="preserve">The platform’s primary framing has been values-based: fairness, shared prosperity, the principle that we do better together than alone. This framing is genuine and the author stands behind it. It is also not the only framing the platform supports, and it is not the framing most likely to build the broadest political coalition.</w:t>
      </w:r>
    </w:p>
    <w:p>
      <w:pPr>
        <w:spacing w:after="200" w:line="320"/>
        <w:jc w:val="both"/>
      </w:pPr>
      <w:r>
        <w:rPr>
          <w:rFonts w:ascii="Georgia" w:cs="Georgia" w:eastAsia="Georgia" w:hAnsi="Georgia"/>
          <w:color w:val="1A1A1A"/>
          <w:sz w:val="22"/>
          <w:szCs w:val="22"/>
        </w:rPr>
        <w:t xml:space="preserve">Many Americans who would reject the platform on fairness grounds would accept it on stability grounds. Conservative economists who would never endorse “redistribution” as a value proposition often endorse “economic stability infrastructure” as a value proposition, because economic stability is a precondition for the kind of market dynamism that conservative economic philosophy depends on. Markets that experience widespread worker displacement without absorption infrastructure tend to produce political backlash that does substantially more damage to market function than the original disruption.</w:t>
      </w:r>
    </w:p>
    <w:p>
      <w:pPr>
        <w:spacing w:after="200" w:line="320"/>
        <w:jc w:val="both"/>
      </w:pPr>
      <w:r>
        <w:rPr>
          <w:rFonts w:ascii="Georgia" w:cs="Georgia" w:eastAsia="Georgia" w:hAnsi="Georgia"/>
          <w:color w:val="1A1A1A"/>
          <w:sz w:val="22"/>
          <w:szCs w:val="22"/>
        </w:rPr>
        <w:t xml:space="preserve">Business leaders who would reject the platform on “government overreach” grounds often accept it on “workforce transition planning” grounds, because their own businesses depend on having a workforce that can adapt to changing requirements. A business cannot transition successfully into AI-augmented operations if its workers face catastrophic personal consequences from the transition. The infrastructure that makes individual workers’ transitions survivable is the same infrastructure that makes business transformation feasible.</w:t>
      </w:r>
    </w:p>
    <w:p>
      <w:pPr>
        <w:spacing w:after="200" w:line="320"/>
        <w:jc w:val="both"/>
      </w:pPr>
      <w:r>
        <w:rPr>
          <w:rFonts w:ascii="Georgia" w:cs="Georgia" w:eastAsia="Georgia" w:hAnsi="Georgia"/>
          <w:color w:val="1A1A1A"/>
          <w:sz w:val="22"/>
          <w:szCs w:val="22"/>
        </w:rPr>
        <w:t xml:space="preserve">Religious conservatives who reject many platform proposals on principle often accept the underlying values when framed differently. The pillars supporting families during displacement — universal childcare, mental health access, education for parents pursuing retraining — are family-strengthening infrastructure. The wage floors that ensure care work pays enough to support a family are pro-family policies. The retirement security architecture that protects workers approaching retirement during their most vulnerable period is fundamentally about honoring the work people have done across their lifetimes.</w:t>
      </w:r>
    </w:p>
    <w:p>
      <w:pPr>
        <w:spacing w:after="200" w:line="320"/>
        <w:jc w:val="both"/>
      </w:pPr>
      <w:r>
        <w:rPr>
          <w:rFonts w:ascii="Georgia" w:cs="Georgia" w:eastAsia="Georgia" w:hAnsi="Georgia"/>
          <w:color w:val="1A1A1A"/>
          <w:sz w:val="22"/>
          <w:szCs w:val="22"/>
        </w:rPr>
        <w:t xml:space="preserve">None of these reframings change what the platform is. They change which audience the platform speaks to. A political coalition that includes conservatives concerned about economic stability, business leaders concerned about workforce capacity, and religious conservatives concerned about family integrity, alongside the progressive coalition that endorses the platform on fairness grounds, is a substantially stronger coalition than any single-frame coalition could be.</w:t>
      </w:r>
    </w:p>
    <w:p>
      <w:pPr>
        <w:pStyle w:val="Heading3"/>
        <w:spacing w:after="120" w:before="240"/>
      </w:pPr>
      <w:r>
        <w:rPr>
          <w:rFonts w:ascii="Arial" w:cs="Arial" w:eastAsia="Arial" w:hAnsi="Arial"/>
          <w:b/>
          <w:bCs/>
          <w:color w:val="C00000"/>
          <w:sz w:val="22"/>
          <w:szCs w:val="22"/>
        </w:rPr>
        <w:t xml:space="preserve">What This Document Does Not Argue</w:t>
      </w:r>
    </w:p>
    <w:p>
      <w:pPr>
        <w:spacing w:after="200" w:line="320"/>
        <w:jc w:val="both"/>
      </w:pPr>
      <w:r>
        <w:rPr>
          <w:rFonts w:ascii="Georgia" w:cs="Georgia" w:eastAsia="Georgia" w:hAnsi="Georgia"/>
          <w:color w:val="1A1A1A"/>
          <w:sz w:val="22"/>
          <w:szCs w:val="22"/>
        </w:rPr>
        <w:t xml:space="preserve">This document does not argue that AI is the most important problem facing the country. It does not argue that AI displacement is inevitable at any particular scale or timeline. It does not argue that the platform’s architecture is the only possible response to whatever displacement does occur. It does not argue against any of the alternative frames the platform supports.</w:t>
      </w:r>
    </w:p>
    <w:p>
      <w:pPr>
        <w:spacing w:after="200" w:line="320"/>
        <w:jc w:val="both"/>
      </w:pPr>
      <w:r>
        <w:rPr>
          <w:rFonts w:ascii="Georgia" w:cs="Georgia" w:eastAsia="Georgia" w:hAnsi="Georgia"/>
          <w:color w:val="1A1A1A"/>
          <w:sz w:val="22"/>
          <w:szCs w:val="22"/>
        </w:rPr>
        <w:t xml:space="preserve">What this document argues is more limited and more defensible. It argues that the workforce transition currently underway is substantial enough to warrant institutional preparation, that the country lacks adequate institutional preparation, that the platform’s architecture would constitute adequate institutional preparation, and that this argument should be persuasive to readers who would reject the platform on other grounds. The argument can be wrong about the magnitude of the transition without being wrong about the value of the infrastructure. Even if AI displacement turns out to be smaller than current projections suggest, the infrastructure described here remains valuable for other reasons. The infrastructure is robust to uncertainty about the transition’s exact scale.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color w:val="1A1A1A"/>
                <w:sz w:val="22"/>
                <w:szCs w:val="22"/>
              </w:rPr>
              <w:t xml:space="preserve">This is the conservative case for the platform: build the infrastructure that makes economic transition survivable, regardless of what specific transition occurs. The platform is offered to that audience as well as to the audience that endorses it on values grounds.</w:t>
            </w:r>
          </w:p>
        </w:tc>
      </w:tr>
    </w:tbl>
    <w:p>
      <w:r>
        <w:br w:type="page"/>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 xml:space="preserve">The country is at a moment when prudent planning has become urgent. The transitions that current technology trajectories make likely will arrive whether or not the country prepares for them. Workers will lose jobs to AI whether or not we have built the infrastructure to absorb that displacement. Communities will experience concentrated economic disruption whether or not we have built the support systems to manage it. The transition is not optional. The infrastructure is.</w:t>
      </w:r>
    </w:p>
    <w:p>
      <w:pPr>
        <w:spacing w:after="200" w:line="320"/>
        <w:jc w:val="both"/>
      </w:pPr>
      <w:r>
        <w:rPr>
          <w:rFonts w:ascii="Georgia" w:cs="Georgia" w:eastAsia="Georgia" w:hAnsi="Georgia"/>
          <w:color w:val="1A1A1A"/>
          <w:sz w:val="22"/>
          <w:szCs w:val="22"/>
        </w:rPr>
        <w:t xml:space="preserve">The platform described in the broader documents is the most coherent response to this challenge that the author has been able to construct. It draws on international examples of how other countries have built similar infrastructure. It rests on mathematical analysis that the author has documented and is willing to defend. It acknowledges its own limitations and the work that remains. It is offered as a starting point for conversations that need to happen, not as a finished answer to questions that don’t yet have settled answers.</w:t>
      </w:r>
    </w:p>
    <w:p>
      <w:pPr>
        <w:spacing w:after="200" w:line="320"/>
        <w:jc w:val="both"/>
      </w:pPr>
      <w:r>
        <w:rPr>
          <w:rFonts w:ascii="Georgia" w:cs="Georgia" w:eastAsia="Georgia" w:hAnsi="Georgia"/>
          <w:color w:val="1A1A1A"/>
          <w:sz w:val="22"/>
          <w:szCs w:val="22"/>
        </w:rPr>
        <w:t xml:space="preserve">This particular document is offered specifically to readers whose primary concern is economic stability rather than fairness. The platform is the same platform. The argument for it varies depending on what the audience values. Both arguments are honest. Both lead to the same conclusion: the country needs this infrastructure, and the time to build it is now, before the transition arrives in full force.</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“We build the infrastructure for the transition we know is coming. Or we face the transition with the infrastructure we currently have. There is no third option that involves the transition not happening.”</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Built For What's Coming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3,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Built For What’s Coming — AI Transition Infrastructure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Built For What's Coming — The Platform as AI Transition Infrastructure</dc:title>
  <dc:creator>Jason</dc:creator>
  <cp:lastModifiedBy>Un-named</cp:lastModifiedBy>
  <cp:revision>1</cp:revision>
  <dcterms:created xsi:type="dcterms:W3CDTF">2026-05-03T14:25:25.505Z</dcterms:created>
  <dcterms:modified xsi:type="dcterms:W3CDTF">2026-05-03T14:25:25.506Z</dcterms:modified>
</cp:coreProperties>
</file>

<file path=docProps/custom.xml><?xml version="1.0" encoding="utf-8"?>
<Properties xmlns="http://schemas.openxmlformats.org/officeDocument/2006/custom-properties" xmlns:vt="http://schemas.openxmlformats.org/officeDocument/2006/docPropsVTypes"/>
</file>